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4B" w:rsidRPr="00560458" w:rsidRDefault="0013244B" w:rsidP="0013244B">
      <w:pPr>
        <w:spacing w:after="0" w:line="240" w:lineRule="auto"/>
        <w:jc w:val="both"/>
        <w:rPr>
          <w:rFonts w:ascii="Times New Roman" w:eastAsia="Times New Roman" w:hAnsi="Times New Roman" w:cs="Times New Roman"/>
          <w:b/>
          <w:snapToGrid w:val="0"/>
          <w:sz w:val="24"/>
          <w:szCs w:val="20"/>
          <w:lang w:eastAsia="it-IT"/>
        </w:rPr>
      </w:pPr>
      <w:r>
        <w:rPr>
          <w:rFonts w:ascii="Times New Roman" w:eastAsia="Times New Roman" w:hAnsi="Times New Roman" w:cs="Times New Roman"/>
          <w:b/>
          <w:snapToGrid w:val="0"/>
          <w:sz w:val="24"/>
          <w:szCs w:val="20"/>
          <w:lang w:eastAsia="it-IT"/>
        </w:rPr>
        <w:t>Oggetto: C</w:t>
      </w:r>
      <w:r w:rsidRPr="00560458">
        <w:rPr>
          <w:rFonts w:ascii="Times New Roman" w:eastAsia="Times New Roman" w:hAnsi="Times New Roman" w:cs="Times New Roman"/>
          <w:b/>
          <w:snapToGrid w:val="0"/>
          <w:sz w:val="24"/>
          <w:szCs w:val="20"/>
          <w:lang w:eastAsia="it-IT"/>
        </w:rPr>
        <w:t xml:space="preserve">oncorso pubblico per titoli ed esami per la copertura di n. </w:t>
      </w:r>
      <w:r>
        <w:rPr>
          <w:rFonts w:ascii="Times New Roman" w:eastAsia="Times New Roman" w:hAnsi="Times New Roman" w:cs="Times New Roman"/>
          <w:b/>
          <w:snapToGrid w:val="0"/>
          <w:sz w:val="24"/>
          <w:szCs w:val="20"/>
          <w:lang w:eastAsia="it-IT"/>
        </w:rPr>
        <w:t>9</w:t>
      </w:r>
      <w:r w:rsidRPr="00560458">
        <w:rPr>
          <w:rFonts w:ascii="Times New Roman" w:eastAsia="Times New Roman" w:hAnsi="Times New Roman" w:cs="Times New Roman"/>
          <w:b/>
          <w:snapToGrid w:val="0"/>
          <w:sz w:val="24"/>
          <w:szCs w:val="20"/>
          <w:lang w:eastAsia="it-IT"/>
        </w:rPr>
        <w:t xml:space="preserve"> posti di dirigente medico – disciplina  </w:t>
      </w:r>
      <w:r>
        <w:rPr>
          <w:rFonts w:ascii="Times New Roman" w:eastAsia="Times New Roman" w:hAnsi="Times New Roman" w:cs="Times New Roman"/>
          <w:b/>
          <w:snapToGrid w:val="0"/>
          <w:sz w:val="24"/>
          <w:szCs w:val="20"/>
          <w:lang w:eastAsia="it-IT"/>
        </w:rPr>
        <w:t>ortopedia e traumatologia</w:t>
      </w:r>
    </w:p>
    <w:p w:rsidR="0013244B" w:rsidRDefault="0013244B" w:rsidP="0013244B">
      <w:pPr>
        <w:spacing w:after="0" w:line="240" w:lineRule="auto"/>
        <w:jc w:val="both"/>
        <w:rPr>
          <w:rFonts w:ascii="Times New Roman" w:eastAsia="Times New Roman" w:hAnsi="Times New Roman" w:cs="Times New Roman"/>
          <w:b/>
          <w:snapToGrid w:val="0"/>
          <w:sz w:val="24"/>
          <w:szCs w:val="20"/>
          <w:lang w:eastAsia="it-IT"/>
        </w:rPr>
      </w:pPr>
    </w:p>
    <w:p w:rsidR="0013244B" w:rsidRDefault="0013244B" w:rsidP="0013244B">
      <w:pPr>
        <w:spacing w:after="0" w:line="240" w:lineRule="auto"/>
        <w:jc w:val="center"/>
        <w:rPr>
          <w:rFonts w:ascii="Times New Roman" w:eastAsia="Times New Roman" w:hAnsi="Times New Roman" w:cs="Times New Roman"/>
          <w:b/>
          <w:snapToGrid w:val="0"/>
          <w:sz w:val="24"/>
          <w:szCs w:val="20"/>
          <w:lang w:eastAsia="it-IT"/>
        </w:rPr>
      </w:pPr>
      <w:r>
        <w:rPr>
          <w:rFonts w:ascii="Times New Roman" w:eastAsia="Times New Roman" w:hAnsi="Times New Roman" w:cs="Times New Roman"/>
          <w:b/>
          <w:snapToGrid w:val="0"/>
          <w:sz w:val="24"/>
          <w:szCs w:val="20"/>
          <w:lang w:eastAsia="it-IT"/>
        </w:rPr>
        <w:t>CRITERI VALUTAZIONE TITOLI ADOTTATI DALLA COMMISSIONE</w:t>
      </w:r>
    </w:p>
    <w:p w:rsidR="0013244B" w:rsidRDefault="0013244B" w:rsidP="0013244B">
      <w:pPr>
        <w:spacing w:after="0" w:line="240" w:lineRule="auto"/>
        <w:jc w:val="center"/>
        <w:rPr>
          <w:rFonts w:ascii="Times New Roman" w:eastAsia="Times New Roman" w:hAnsi="Times New Roman" w:cs="Times New Roman"/>
          <w:b/>
          <w:snapToGrid w:val="0"/>
          <w:sz w:val="24"/>
          <w:szCs w:val="20"/>
          <w:lang w:eastAsia="it-IT"/>
        </w:rPr>
      </w:pPr>
      <w:r>
        <w:rPr>
          <w:rFonts w:ascii="Times New Roman" w:eastAsia="Times New Roman" w:hAnsi="Times New Roman" w:cs="Times New Roman"/>
          <w:b/>
          <w:snapToGrid w:val="0"/>
          <w:sz w:val="24"/>
          <w:szCs w:val="20"/>
          <w:lang w:eastAsia="it-IT"/>
        </w:rPr>
        <w:t>(estratto dal verbale n.1 del 15 febbraio 2022)</w:t>
      </w:r>
    </w:p>
    <w:p w:rsidR="0013244B" w:rsidRDefault="0013244B" w:rsidP="0013244B">
      <w:pPr>
        <w:spacing w:after="0" w:line="240" w:lineRule="auto"/>
        <w:jc w:val="both"/>
        <w:rPr>
          <w:rFonts w:ascii="Times New Roman" w:eastAsia="Times New Roman" w:hAnsi="Times New Roman" w:cs="Times New Roman"/>
          <w:b/>
          <w:snapToGrid w:val="0"/>
          <w:sz w:val="24"/>
          <w:szCs w:val="20"/>
          <w:lang w:eastAsia="it-IT"/>
        </w:rPr>
      </w:pPr>
    </w:p>
    <w:p w:rsidR="0013244B" w:rsidRDefault="0013244B" w:rsidP="0013244B">
      <w:pPr>
        <w:keepNext/>
        <w:keepLines/>
        <w:widowControl w:val="0"/>
        <w:numPr>
          <w:ilvl w:val="0"/>
          <w:numId w:val="1"/>
        </w:numPr>
        <w:tabs>
          <w:tab w:val="left" w:pos="769"/>
        </w:tabs>
        <w:spacing w:after="0" w:line="274" w:lineRule="exact"/>
        <w:jc w:val="both"/>
        <w:outlineLvl w:val="6"/>
        <w:rPr>
          <w:rFonts w:ascii="Times New Roman" w:eastAsia="Times New Roman" w:hAnsi="Times New Roman" w:cs="Times New Roman"/>
          <w:b/>
          <w:bCs/>
          <w:color w:val="000000"/>
          <w:sz w:val="24"/>
          <w:szCs w:val="24"/>
          <w:lang w:bidi="it-IT"/>
        </w:rPr>
      </w:pPr>
      <w:bookmarkStart w:id="0" w:name="bookmark1"/>
      <w:r>
        <w:rPr>
          <w:rFonts w:ascii="Times New Roman" w:eastAsia="Times New Roman" w:hAnsi="Times New Roman" w:cs="Times New Roman"/>
          <w:b/>
          <w:bCs/>
          <w:color w:val="000000"/>
          <w:sz w:val="24"/>
          <w:szCs w:val="24"/>
          <w:lang w:bidi="it-IT"/>
        </w:rPr>
        <w:t>Titoli di carriera fino ad un massimo di punti 10, così distribuiti:</w:t>
      </w:r>
      <w:bookmarkEnd w:id="0"/>
    </w:p>
    <w:p w:rsidR="0013244B" w:rsidRDefault="0013244B" w:rsidP="0013244B">
      <w:pPr>
        <w:widowControl w:val="0"/>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a - Servizio di ruolo prestato presso le unità sanitarie locali, le aziende ospedaliere, le aziende ospedaliere universitarie, gli istituti di ricovero e cura a carattere scientifico di diritto pubblico, gli ospedali militari, cliniche istituti universitari ed enti di ricerca, le istituzioni o fondazioni sanitarie pubbliche o private senza scopo di lucro estere, gli organismi internazionali e comunque i servizi equipollenti ai sensi degli artt. 20, 21, 22 e 23 del DPR n. 483/1997:</w:t>
      </w:r>
    </w:p>
    <w:p w:rsidR="0013244B" w:rsidRDefault="0013244B" w:rsidP="0013244B">
      <w:pPr>
        <w:widowControl w:val="0"/>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 xml:space="preserve">          a1) nel livello dirigenziale messo a selezione, corrispondenti qualifiche                  universitarie o livello superiore, nella disciplina a selezione o equipollente:</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1.20 per anno a tempo pieno,</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1.00 per anno a tempo definito;</w:t>
      </w:r>
    </w:p>
    <w:p w:rsidR="0013244B" w:rsidRDefault="0013244B" w:rsidP="0013244B">
      <w:pPr>
        <w:widowControl w:val="0"/>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a2) in altra posizione funzionale nella disciplina messa a selezione:</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0,60 per anno a tempo pieno,</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0.50 per anno a tempo definito;</w:t>
      </w:r>
    </w:p>
    <w:p w:rsidR="0013244B" w:rsidRDefault="0013244B" w:rsidP="0013244B">
      <w:pPr>
        <w:widowControl w:val="0"/>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a3) in disciplina affine a quella messa a selezione:</w:t>
      </w:r>
      <w:bookmarkStart w:id="1" w:name="_GoBack"/>
      <w:bookmarkEnd w:id="1"/>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0.90 per anno a tempo pieno.</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0,75 per anno a tempo definito;</w:t>
      </w:r>
    </w:p>
    <w:p w:rsidR="0013244B" w:rsidRDefault="0013244B" w:rsidP="0013244B">
      <w:pPr>
        <w:widowControl w:val="0"/>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a4) in altra disciplina a quella messa a selezione:</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0,60 per anno a tempo pieno,</w:t>
      </w:r>
    </w:p>
    <w:p w:rsidR="0013244B" w:rsidRDefault="0013244B" w:rsidP="0013244B">
      <w:pPr>
        <w:widowControl w:val="0"/>
        <w:numPr>
          <w:ilvl w:val="0"/>
          <w:numId w:val="2"/>
        </w:numPr>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punti 0,50 per anno a tempo definito;</w:t>
      </w:r>
    </w:p>
    <w:p w:rsidR="0013244B" w:rsidRDefault="0013244B" w:rsidP="0013244B">
      <w:pPr>
        <w:widowControl w:val="0"/>
        <w:tabs>
          <w:tab w:val="left" w:pos="865"/>
        </w:tabs>
        <w:spacing w:after="0" w:line="274" w:lineRule="exact"/>
        <w:ind w:left="620"/>
        <w:jc w:val="both"/>
        <w:rPr>
          <w:rFonts w:ascii="Times New Roman" w:eastAsia="Times New Roman" w:hAnsi="Times New Roman" w:cs="Times New Roman"/>
          <w:color w:val="000000"/>
          <w:sz w:val="24"/>
          <w:szCs w:val="24"/>
          <w:lang w:eastAsia="it-IT" w:bidi="it-IT"/>
        </w:rPr>
      </w:pPr>
    </w:p>
    <w:p w:rsidR="0013244B" w:rsidRDefault="0013244B" w:rsidP="0013244B">
      <w:pPr>
        <w:widowControl w:val="0"/>
        <w:tabs>
          <w:tab w:val="left" w:pos="865"/>
        </w:tabs>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b) - Il servizio prestato quale medico presso altre pubbliche amministrazioni nelle varie qualifiche: punti 0.50 per anno.</w:t>
      </w:r>
    </w:p>
    <w:p w:rsidR="0013244B" w:rsidRDefault="0013244B" w:rsidP="0013244B">
      <w:pPr>
        <w:widowControl w:val="0"/>
        <w:tabs>
          <w:tab w:val="left" w:pos="865"/>
        </w:tabs>
        <w:spacing w:after="0" w:line="274" w:lineRule="exact"/>
        <w:jc w:val="both"/>
        <w:rPr>
          <w:rFonts w:ascii="Times New Roman" w:eastAsia="Times New Roman" w:hAnsi="Times New Roman" w:cs="Times New Roman"/>
          <w:color w:val="000000"/>
          <w:sz w:val="24"/>
          <w:szCs w:val="24"/>
          <w:lang w:eastAsia="it-IT" w:bidi="it-IT"/>
        </w:rPr>
      </w:pPr>
    </w:p>
    <w:p w:rsidR="0013244B" w:rsidRDefault="0013244B" w:rsidP="0013244B">
      <w:pPr>
        <w:widowControl w:val="0"/>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c) Il servizio a tempo pieno nella posizione messa a selezione, prestato presso case di cura convenzionate o accreditate, con rapporto continuativo ed a tempo pieno, sarà valutato per il 25% della sua durata, come servizio prestato presso gli ospedali pubblici.</w:t>
      </w:r>
    </w:p>
    <w:p w:rsidR="0013244B" w:rsidRDefault="0013244B" w:rsidP="0013244B">
      <w:pPr>
        <w:widowControl w:val="0"/>
        <w:spacing w:after="0" w:line="274" w:lineRule="exact"/>
        <w:jc w:val="both"/>
        <w:rPr>
          <w:rFonts w:ascii="Times New Roman" w:eastAsia="Times New Roman" w:hAnsi="Times New Roman" w:cs="Times New Roman"/>
          <w:color w:val="000000"/>
          <w:sz w:val="24"/>
          <w:szCs w:val="24"/>
          <w:lang w:eastAsia="it-IT" w:bidi="it-IT"/>
        </w:rPr>
      </w:pPr>
    </w:p>
    <w:p w:rsidR="0013244B" w:rsidRDefault="0013244B" w:rsidP="0013244B">
      <w:pPr>
        <w:widowControl w:val="0"/>
        <w:tabs>
          <w:tab w:val="left" w:pos="302"/>
        </w:tabs>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Il servizio non di ruolo prestato a titolo di incarico o supplenza o in qualità di straordinario, ad esclusione di quello prestato con qualifiche di volontario, precario o similari, è equiparato ai sensi dell'art. 20 del DPR 483/1997 al servizio di ruolo.</w:t>
      </w:r>
    </w:p>
    <w:p w:rsidR="0013244B" w:rsidRDefault="0013244B" w:rsidP="0013244B">
      <w:pPr>
        <w:spacing w:after="0" w:line="240" w:lineRule="auto"/>
        <w:jc w:val="both"/>
        <w:rPr>
          <w:rFonts w:ascii="Times New Roman" w:eastAsia="Arial Unicode MS" w:hAnsi="Times New Roman" w:cs="Times New Roman"/>
          <w:color w:val="000000"/>
          <w:sz w:val="24"/>
          <w:szCs w:val="24"/>
          <w:lang w:eastAsia="it-IT" w:bidi="it-IT"/>
        </w:rPr>
      </w:pPr>
      <w:r>
        <w:rPr>
          <w:rFonts w:ascii="Times New Roman" w:eastAsia="Arial Unicode MS" w:hAnsi="Times New Roman" w:cs="Times New Roman"/>
          <w:color w:val="000000"/>
          <w:sz w:val="24"/>
          <w:szCs w:val="24"/>
          <w:lang w:eastAsia="it-IT" w:bidi="it-IT"/>
        </w:rPr>
        <w:t xml:space="preserve">L'attività ambulatoriale interna prestata a rapporto orario presso strutture a diretta gestione della aziende sanitarie o del Ministero della sanità in base ad accordi nazionali è valutata con riferimento all'orario settimanale svolto, rapportato a quello dei medici dipendenti dalle aziende sanitarie con orario a tempo definito (art. 21 del DPR 483/1997) (1 punto per anno rapportato alle ore) </w:t>
      </w:r>
    </w:p>
    <w:p w:rsidR="0013244B" w:rsidRDefault="0013244B" w:rsidP="0013244B">
      <w:pPr>
        <w:spacing w:after="0" w:line="240" w:lineRule="auto"/>
        <w:jc w:val="both"/>
        <w:rPr>
          <w:rFonts w:ascii="Times New Roman" w:eastAsia="Arial Unicode MS" w:hAnsi="Times New Roman" w:cs="Times New Roman"/>
          <w:color w:val="000000"/>
          <w:sz w:val="24"/>
          <w:szCs w:val="24"/>
          <w:lang w:eastAsia="it-IT" w:bidi="it-IT"/>
        </w:rPr>
      </w:pPr>
    </w:p>
    <w:p w:rsidR="0013244B" w:rsidRDefault="0013244B" w:rsidP="0013244B">
      <w:pPr>
        <w:spacing w:after="0" w:line="240" w:lineRule="auto"/>
        <w:jc w:val="both"/>
        <w:rPr>
          <w:rFonts w:ascii="Times New Roman" w:eastAsia="Arial Unicode MS" w:hAnsi="Times New Roman" w:cs="Times New Roman"/>
          <w:b/>
          <w:color w:val="000000"/>
          <w:sz w:val="24"/>
          <w:szCs w:val="24"/>
          <w:lang w:eastAsia="it-IT" w:bidi="it-IT"/>
        </w:rPr>
      </w:pPr>
      <w:r>
        <w:rPr>
          <w:rFonts w:ascii="Times New Roman" w:eastAsia="Arial Unicode MS" w:hAnsi="Times New Roman" w:cs="Times New Roman"/>
          <w:b/>
          <w:color w:val="000000"/>
          <w:sz w:val="24"/>
          <w:szCs w:val="24"/>
          <w:lang w:eastAsia="it-IT" w:bidi="it-IT"/>
        </w:rPr>
        <w:t xml:space="preserve">2) Titoli accademici e di studio fino ad un </w:t>
      </w:r>
      <w:proofErr w:type="spellStart"/>
      <w:r>
        <w:rPr>
          <w:rFonts w:ascii="Times New Roman" w:eastAsia="Arial Unicode MS" w:hAnsi="Times New Roman" w:cs="Times New Roman"/>
          <w:b/>
          <w:color w:val="000000"/>
          <w:sz w:val="24"/>
          <w:szCs w:val="24"/>
          <w:lang w:eastAsia="it-IT" w:bidi="it-IT"/>
        </w:rPr>
        <w:t>max</w:t>
      </w:r>
      <w:proofErr w:type="spellEnd"/>
      <w:r>
        <w:rPr>
          <w:rFonts w:ascii="Times New Roman" w:eastAsia="Arial Unicode MS" w:hAnsi="Times New Roman" w:cs="Times New Roman"/>
          <w:b/>
          <w:color w:val="000000"/>
          <w:sz w:val="24"/>
          <w:szCs w:val="24"/>
          <w:lang w:eastAsia="it-IT" w:bidi="it-IT"/>
        </w:rPr>
        <w:t xml:space="preserve"> di p. 3:</w:t>
      </w:r>
    </w:p>
    <w:p w:rsidR="0013244B" w:rsidRDefault="0013244B" w:rsidP="0013244B">
      <w:pPr>
        <w:spacing w:after="0" w:line="240" w:lineRule="auto"/>
        <w:jc w:val="both"/>
        <w:rPr>
          <w:rFonts w:ascii="Times New Roman" w:eastAsia="Times New Roman" w:hAnsi="Times New Roman" w:cs="Times New Roman"/>
          <w:b/>
          <w:snapToGrid w:val="0"/>
          <w:sz w:val="24"/>
          <w:szCs w:val="20"/>
          <w:lang w:eastAsia="it-IT"/>
        </w:rPr>
      </w:pPr>
    </w:p>
    <w:p w:rsidR="0013244B" w:rsidRDefault="0013244B" w:rsidP="0013244B">
      <w:pPr>
        <w:spacing w:after="0" w:line="240" w:lineRule="auto"/>
        <w:jc w:val="both"/>
        <w:rPr>
          <w:rFonts w:ascii="Times New Roman" w:eastAsia="Arial Unicode MS" w:hAnsi="Times New Roman" w:cs="Times New Roman"/>
          <w:color w:val="000000"/>
          <w:sz w:val="24"/>
          <w:szCs w:val="24"/>
          <w:lang w:eastAsia="it-IT" w:bidi="it-IT"/>
        </w:rPr>
      </w:pPr>
      <w:r>
        <w:rPr>
          <w:rFonts w:ascii="Times New Roman" w:eastAsia="Arial Unicode MS" w:hAnsi="Times New Roman" w:cs="Times New Roman"/>
          <w:color w:val="000000"/>
          <w:sz w:val="24"/>
          <w:szCs w:val="24"/>
          <w:lang w:eastAsia="it-IT" w:bidi="it-IT"/>
        </w:rPr>
        <w:t>Non è valutabile la specializzazione e la laurea fatte valere come requisito di ammissione alla selezione.</w:t>
      </w:r>
    </w:p>
    <w:p w:rsidR="0013244B" w:rsidRDefault="0013244B" w:rsidP="0013244B">
      <w:pPr>
        <w:spacing w:after="0" w:line="240" w:lineRule="auto"/>
        <w:jc w:val="both"/>
        <w:rPr>
          <w:rFonts w:ascii="Times New Roman" w:eastAsia="Arial Unicode MS" w:hAnsi="Times New Roman" w:cs="Times New Roman"/>
          <w:color w:val="000000"/>
          <w:sz w:val="24"/>
          <w:szCs w:val="24"/>
          <w:lang w:eastAsia="it-IT" w:bidi="it-IT"/>
        </w:rPr>
      </w:pPr>
      <w:r>
        <w:rPr>
          <w:rFonts w:ascii="Times New Roman" w:eastAsia="Arial Unicode MS" w:hAnsi="Times New Roman" w:cs="Times New Roman"/>
          <w:color w:val="000000"/>
          <w:sz w:val="24"/>
          <w:szCs w:val="24"/>
          <w:lang w:eastAsia="it-IT" w:bidi="it-IT"/>
        </w:rPr>
        <w:t xml:space="preserve">Per l’attribuzione del punteggio alla specializzazione, previsto dall’art. 27 del regolamento concorsuale è necessario che dagli atti si evinca che la stessa sia stata conseguita ai sensi del D. </w:t>
      </w:r>
      <w:proofErr w:type="spellStart"/>
      <w:r>
        <w:rPr>
          <w:rFonts w:ascii="Times New Roman" w:eastAsia="Arial Unicode MS" w:hAnsi="Times New Roman" w:cs="Times New Roman"/>
          <w:color w:val="000000"/>
          <w:sz w:val="24"/>
          <w:szCs w:val="24"/>
          <w:lang w:eastAsia="it-IT" w:bidi="it-IT"/>
        </w:rPr>
        <w:t>Lgs</w:t>
      </w:r>
      <w:proofErr w:type="spellEnd"/>
      <w:r>
        <w:rPr>
          <w:rFonts w:ascii="Times New Roman" w:eastAsia="Arial Unicode MS" w:hAnsi="Times New Roman" w:cs="Times New Roman"/>
          <w:color w:val="000000"/>
          <w:sz w:val="24"/>
          <w:szCs w:val="24"/>
          <w:lang w:eastAsia="it-IT" w:bidi="it-IT"/>
        </w:rPr>
        <w:t xml:space="preserve"> 257/91 e specifichi la durata degli anni di corso ovvero se sia stata conseguita ai sensi del </w:t>
      </w:r>
      <w:proofErr w:type="spellStart"/>
      <w:r>
        <w:rPr>
          <w:rFonts w:ascii="Times New Roman" w:eastAsia="Arial Unicode MS" w:hAnsi="Times New Roman" w:cs="Times New Roman"/>
          <w:color w:val="000000"/>
          <w:sz w:val="24"/>
          <w:szCs w:val="24"/>
          <w:lang w:eastAsia="it-IT" w:bidi="it-IT"/>
        </w:rPr>
        <w:t>D.Lgs.</w:t>
      </w:r>
      <w:proofErr w:type="spellEnd"/>
      <w:r>
        <w:rPr>
          <w:rFonts w:ascii="Times New Roman" w:eastAsia="Arial Unicode MS" w:hAnsi="Times New Roman" w:cs="Times New Roman"/>
          <w:color w:val="000000"/>
          <w:sz w:val="24"/>
          <w:szCs w:val="24"/>
          <w:lang w:eastAsia="it-IT" w:bidi="it-IT"/>
        </w:rPr>
        <w:t xml:space="preserve"> 17 agosto 1999, n. 368 (riguardante l’entrata in vigore dei contratti di formazione specialistica a far data dall’1/11/2006). In mancanza non si procederà ad attribuire il relativo punteggio. </w:t>
      </w:r>
    </w:p>
    <w:p w:rsidR="0013244B" w:rsidRDefault="0013244B" w:rsidP="0013244B">
      <w:pPr>
        <w:spacing w:after="0" w:line="240" w:lineRule="auto"/>
        <w:jc w:val="both"/>
        <w:rPr>
          <w:rFonts w:ascii="Times New Roman" w:eastAsia="Arial Unicode MS" w:hAnsi="Times New Roman" w:cs="Times New Roman"/>
          <w:color w:val="000000"/>
          <w:sz w:val="24"/>
          <w:szCs w:val="24"/>
          <w:lang w:eastAsia="it-IT" w:bidi="it-IT"/>
        </w:rPr>
      </w:pPr>
    </w:p>
    <w:p w:rsidR="0013244B" w:rsidRDefault="0013244B" w:rsidP="0013244B">
      <w:pPr>
        <w:widowControl w:val="0"/>
        <w:numPr>
          <w:ilvl w:val="0"/>
          <w:numId w:val="3"/>
        </w:numPr>
        <w:spacing w:after="0" w:line="278" w:lineRule="exact"/>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specializzazione, ai sensi del c. 7 dell'art. 27 del DPR n, 483/1997, qualora conseguita ai sensi del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xml:space="preserve">. n. 257/1991, anche se fatta valere come requisito di ammissione, è valutata con uno specifico punteggio pari a punti </w:t>
      </w:r>
      <w:r>
        <w:rPr>
          <w:rFonts w:ascii="Times New Roman" w:eastAsia="Times New Roman" w:hAnsi="Times New Roman" w:cs="Times New Roman"/>
          <w:sz w:val="24"/>
          <w:szCs w:val="24"/>
          <w:u w:val="single"/>
        </w:rPr>
        <w:t>0,50 per ogni anno</w:t>
      </w:r>
      <w:r>
        <w:rPr>
          <w:rFonts w:ascii="Times New Roman" w:eastAsia="Times New Roman" w:hAnsi="Times New Roman" w:cs="Times New Roman"/>
          <w:sz w:val="24"/>
          <w:szCs w:val="24"/>
        </w:rPr>
        <w:t xml:space="preserve"> di corso della specializzazione richiesta dal bando di selezione, </w:t>
      </w:r>
      <w:r>
        <w:rPr>
          <w:rFonts w:ascii="Times New Roman" w:eastAsia="Times New Roman" w:hAnsi="Times New Roman" w:cs="Times New Roman"/>
          <w:sz w:val="24"/>
          <w:szCs w:val="24"/>
          <w:lang w:eastAsia="it-IT"/>
        </w:rPr>
        <w:t xml:space="preserve">ovvero è valutata come titolo di carriera a far data dall’1.11.2006  </w:t>
      </w:r>
      <w:r>
        <w:rPr>
          <w:rFonts w:ascii="Times New Roman" w:eastAsia="Times New Roman" w:hAnsi="Times New Roman" w:cs="Times New Roman"/>
          <w:color w:val="000000"/>
          <w:sz w:val="24"/>
          <w:szCs w:val="24"/>
          <w:lang w:eastAsia="it-IT"/>
        </w:rPr>
        <w:t xml:space="preserve">nel livello iniziale del profilo stesso nel limite massimo della durata del corso di studi ove svolto ai sensi decreto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368/99.</w:t>
      </w:r>
    </w:p>
    <w:p w:rsidR="0013244B" w:rsidRDefault="0013244B" w:rsidP="0013244B">
      <w:pPr>
        <w:spacing w:after="0" w:line="240" w:lineRule="auto"/>
        <w:ind w:left="567"/>
        <w:jc w:val="both"/>
        <w:rPr>
          <w:rFonts w:ascii="Times New Roman" w:eastAsia="Times New Roman" w:hAnsi="Times New Roman" w:cs="Times New Roman"/>
          <w:snapToGrid w:val="0"/>
          <w:sz w:val="24"/>
          <w:szCs w:val="20"/>
          <w:lang w:eastAsia="it-IT"/>
        </w:rPr>
      </w:pPr>
      <w:r>
        <w:rPr>
          <w:rFonts w:ascii="Times New Roman" w:eastAsia="Times New Roman" w:hAnsi="Times New Roman" w:cs="Times New Roman"/>
          <w:color w:val="000000"/>
          <w:sz w:val="24"/>
          <w:szCs w:val="24"/>
          <w:lang w:eastAsia="it-IT"/>
        </w:rPr>
        <w:t xml:space="preserve">Per gli specializzandi, ammessi ai sensi </w:t>
      </w:r>
      <w:r>
        <w:rPr>
          <w:rFonts w:ascii="Times New Roman" w:eastAsia="Times New Roman" w:hAnsi="Times New Roman" w:cs="Times New Roman"/>
          <w:snapToGrid w:val="0"/>
          <w:sz w:val="24"/>
          <w:szCs w:val="20"/>
          <w:lang w:eastAsia="it-IT"/>
        </w:rPr>
        <w:t xml:space="preserve">all’art. 12 del DL 30/4/2019 n. 35 convertito nella legge n. 60 del 25/6/2019, gli anni di specializzazione già effettuati saranno valutati come titolo di carriera, ove svolti ai sensi del decreto </w:t>
      </w:r>
      <w:proofErr w:type="spellStart"/>
      <w:r>
        <w:rPr>
          <w:rFonts w:ascii="Times New Roman" w:eastAsia="Times New Roman" w:hAnsi="Times New Roman" w:cs="Times New Roman"/>
          <w:snapToGrid w:val="0"/>
          <w:sz w:val="24"/>
          <w:szCs w:val="20"/>
          <w:lang w:eastAsia="it-IT"/>
        </w:rPr>
        <w:t>D.Lgs.</w:t>
      </w:r>
      <w:proofErr w:type="spellEnd"/>
      <w:r>
        <w:rPr>
          <w:rFonts w:ascii="Times New Roman" w:eastAsia="Times New Roman" w:hAnsi="Times New Roman" w:cs="Times New Roman"/>
          <w:snapToGrid w:val="0"/>
          <w:sz w:val="24"/>
          <w:szCs w:val="20"/>
          <w:lang w:eastAsia="it-IT"/>
        </w:rPr>
        <w:t xml:space="preserve"> 368/99 (1</w:t>
      </w:r>
      <w:r>
        <w:rPr>
          <w:rFonts w:ascii="Times New Roman" w:eastAsia="Times New Roman" w:hAnsi="Times New Roman" w:cs="Times New Roman"/>
          <w:snapToGrid w:val="0"/>
          <w:sz w:val="24"/>
          <w:szCs w:val="20"/>
          <w:u w:val="single"/>
          <w:lang w:eastAsia="it-IT"/>
        </w:rPr>
        <w:t>,20 punti per anno</w:t>
      </w:r>
      <w:r>
        <w:rPr>
          <w:rFonts w:ascii="Times New Roman" w:eastAsia="Times New Roman" w:hAnsi="Times New Roman" w:cs="Times New Roman"/>
          <w:snapToGrid w:val="0"/>
          <w:sz w:val="24"/>
          <w:szCs w:val="20"/>
          <w:lang w:eastAsia="it-IT"/>
        </w:rPr>
        <w:t>).</w:t>
      </w:r>
    </w:p>
    <w:p w:rsidR="0013244B" w:rsidRDefault="0013244B" w:rsidP="0013244B">
      <w:pPr>
        <w:widowControl w:val="0"/>
        <w:numPr>
          <w:ilvl w:val="0"/>
          <w:numId w:val="3"/>
        </w:numPr>
        <w:spacing w:after="0" w:line="278" w:lineRule="exact"/>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 ogni ulteriore specializzazione, oltre a quella richiesta dal bando di selezione, punti 0.50   se affine, 0,25 per altra specializzazione</w:t>
      </w:r>
    </w:p>
    <w:p w:rsidR="0013244B" w:rsidRDefault="0013244B" w:rsidP="0013244B">
      <w:pPr>
        <w:pStyle w:val="Paragrafoelenco"/>
        <w:widowControl w:val="0"/>
        <w:numPr>
          <w:ilvl w:val="0"/>
          <w:numId w:val="3"/>
        </w:numPr>
        <w:tabs>
          <w:tab w:val="left" w:pos="348"/>
        </w:tabs>
        <w:spacing w:after="244" w:line="278" w:lineRule="exact"/>
        <w:ind w:left="426" w:hanging="284"/>
        <w:rPr>
          <w:rFonts w:ascii="Times New Roman" w:hAnsi="Times New Roman" w:cs="Times New Roman"/>
          <w:sz w:val="24"/>
          <w:szCs w:val="24"/>
        </w:rPr>
      </w:pPr>
      <w:r>
        <w:rPr>
          <w:rFonts w:ascii="Times New Roman" w:hAnsi="Times New Roman" w:cs="Times New Roman"/>
          <w:sz w:val="24"/>
          <w:szCs w:val="24"/>
        </w:rPr>
        <w:t xml:space="preserve">   per ogni ulteriore laurea, oltre a quella richiesta dal bando per l’ammissione alla selezione, comprese tra quelle previste per l'appartenenza al ruolo sanitario, punti 0,50 fino ad un massimo di punti 1.00.</w:t>
      </w:r>
    </w:p>
    <w:p w:rsidR="0013244B" w:rsidRDefault="0013244B" w:rsidP="0013244B">
      <w:pPr>
        <w:rPr>
          <w:rFonts w:ascii="Times New Roman" w:eastAsia="Times New Roman" w:hAnsi="Times New Roman"/>
          <w:b/>
          <w:snapToGrid w:val="0"/>
          <w:sz w:val="24"/>
          <w:szCs w:val="20"/>
          <w:u w:val="single"/>
        </w:rPr>
      </w:pPr>
      <w:r>
        <w:rPr>
          <w:rFonts w:ascii="Times New Roman" w:eastAsia="Times New Roman" w:hAnsi="Times New Roman"/>
          <w:b/>
          <w:snapToGrid w:val="0"/>
          <w:sz w:val="24"/>
          <w:szCs w:val="20"/>
        </w:rPr>
        <w:t xml:space="preserve">3) Pubblicazioni </w:t>
      </w:r>
      <w:r>
        <w:rPr>
          <w:rFonts w:ascii="Times New Roman" w:eastAsia="Arial Unicode MS" w:hAnsi="Times New Roman"/>
          <w:b/>
          <w:color w:val="000000"/>
          <w:sz w:val="24"/>
          <w:szCs w:val="24"/>
          <w:lang w:bidi="it-IT"/>
        </w:rPr>
        <w:t xml:space="preserve">fino ad un </w:t>
      </w:r>
      <w:proofErr w:type="spellStart"/>
      <w:r>
        <w:rPr>
          <w:rFonts w:ascii="Times New Roman" w:eastAsia="Arial Unicode MS" w:hAnsi="Times New Roman"/>
          <w:b/>
          <w:color w:val="000000"/>
          <w:sz w:val="24"/>
          <w:szCs w:val="24"/>
          <w:lang w:bidi="it-IT"/>
        </w:rPr>
        <w:t>max</w:t>
      </w:r>
      <w:proofErr w:type="spellEnd"/>
      <w:r>
        <w:rPr>
          <w:rFonts w:ascii="Times New Roman" w:eastAsia="Arial Unicode MS" w:hAnsi="Times New Roman"/>
          <w:b/>
          <w:color w:val="000000"/>
          <w:sz w:val="24"/>
          <w:szCs w:val="24"/>
          <w:lang w:bidi="it-IT"/>
        </w:rPr>
        <w:t xml:space="preserve"> di p. 3:</w:t>
      </w:r>
    </w:p>
    <w:tbl>
      <w:tblPr>
        <w:tblW w:w="9668" w:type="dxa"/>
        <w:tblInd w:w="55" w:type="dxa"/>
        <w:tblCellMar>
          <w:left w:w="70" w:type="dxa"/>
          <w:right w:w="70" w:type="dxa"/>
        </w:tblCellMar>
        <w:tblLook w:val="04A0" w:firstRow="1" w:lastRow="0" w:firstColumn="1" w:lastColumn="0" w:noHBand="0" w:noVBand="1"/>
      </w:tblPr>
      <w:tblGrid>
        <w:gridCol w:w="315"/>
        <w:gridCol w:w="9353"/>
      </w:tblGrid>
      <w:tr w:rsidR="0013244B" w:rsidTr="0013244B">
        <w:trPr>
          <w:trHeight w:val="630"/>
        </w:trPr>
        <w:tc>
          <w:tcPr>
            <w:tcW w:w="315" w:type="dxa"/>
            <w:tcBorders>
              <w:top w:val="single" w:sz="4" w:space="0" w:color="auto"/>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a</w:t>
            </w:r>
          </w:p>
        </w:tc>
        <w:tc>
          <w:tcPr>
            <w:tcW w:w="9353" w:type="dxa"/>
            <w:tcBorders>
              <w:top w:val="single" w:sz="4" w:space="0" w:color="auto"/>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per ogni singola monografia a carattere scientifico internazionale, fino a punti 0.50;</w:t>
            </w:r>
          </w:p>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 0,20 aggiuntivi se di elevato valore scientifico;</w:t>
            </w:r>
          </w:p>
        </w:tc>
      </w:tr>
      <w:tr w:rsidR="0013244B" w:rsidTr="0013244B">
        <w:trPr>
          <w:trHeight w:val="630"/>
        </w:trPr>
        <w:tc>
          <w:tcPr>
            <w:tcW w:w="315"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b</w:t>
            </w:r>
          </w:p>
        </w:tc>
        <w:tc>
          <w:tcPr>
            <w:tcW w:w="9353"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per ogni singola monografia a carattere scientifico nazionale, fino a punti    0,30;</w:t>
            </w:r>
          </w:p>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 0,20 aggiuntivi se di elevato valore scientifico;</w:t>
            </w:r>
          </w:p>
        </w:tc>
      </w:tr>
      <w:tr w:rsidR="0013244B" w:rsidTr="0013244B">
        <w:trPr>
          <w:trHeight w:val="945"/>
        </w:trPr>
        <w:tc>
          <w:tcPr>
            <w:tcW w:w="315"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c</w:t>
            </w:r>
          </w:p>
        </w:tc>
        <w:tc>
          <w:tcPr>
            <w:tcW w:w="9353"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per ogni singola pubblicazione su riviste a carattere scientifico internazionale fino a punti 0.20 (punti 0.20 se 1° autore, punti 0.10 come coautore);</w:t>
            </w:r>
          </w:p>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 0,10 aggiuntivi se di elevato valore scientifico;</w:t>
            </w:r>
          </w:p>
        </w:tc>
      </w:tr>
      <w:tr w:rsidR="0013244B" w:rsidTr="0013244B">
        <w:trPr>
          <w:trHeight w:val="945"/>
        </w:trPr>
        <w:tc>
          <w:tcPr>
            <w:tcW w:w="315"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d</w:t>
            </w:r>
          </w:p>
        </w:tc>
        <w:tc>
          <w:tcPr>
            <w:tcW w:w="9353"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per ogni singola pubblicazione su riviste a carattere scientifico nazionale, fino a punti 0,10 (punti 0,10 se 1° autore, come coautore punti 0.05).</w:t>
            </w:r>
          </w:p>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 0,10 aggiuntivi se di elevato valore scientifico</w:t>
            </w:r>
          </w:p>
        </w:tc>
      </w:tr>
      <w:tr w:rsidR="0013244B" w:rsidTr="0013244B">
        <w:trPr>
          <w:trHeight w:val="630"/>
        </w:trPr>
        <w:tc>
          <w:tcPr>
            <w:tcW w:w="315"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e</w:t>
            </w:r>
          </w:p>
        </w:tc>
        <w:tc>
          <w:tcPr>
            <w:tcW w:w="9353"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per ogni singolo </w:t>
            </w:r>
            <w:proofErr w:type="spellStart"/>
            <w:r>
              <w:rPr>
                <w:rFonts w:ascii="Times New Roman" w:eastAsia="Times New Roman" w:hAnsi="Times New Roman"/>
                <w:color w:val="000000"/>
                <w:sz w:val="24"/>
                <w:szCs w:val="24"/>
                <w:lang w:eastAsia="it-IT"/>
              </w:rPr>
              <w:t>abstract</w:t>
            </w:r>
            <w:proofErr w:type="spellEnd"/>
            <w:r>
              <w:rPr>
                <w:rFonts w:ascii="Times New Roman" w:eastAsia="Times New Roman" w:hAnsi="Times New Roman"/>
                <w:color w:val="000000"/>
                <w:sz w:val="24"/>
                <w:szCs w:val="24"/>
                <w:lang w:eastAsia="it-IT"/>
              </w:rPr>
              <w:t>/poster/comunicazione, fino a punti 0.05;</w:t>
            </w:r>
          </w:p>
        </w:tc>
      </w:tr>
    </w:tbl>
    <w:p w:rsidR="0013244B" w:rsidRDefault="0013244B" w:rsidP="0013244B">
      <w:pPr>
        <w:pStyle w:val="Paragrafoelenco"/>
        <w:widowControl w:val="0"/>
        <w:spacing w:after="240" w:line="274" w:lineRule="exact"/>
        <w:ind w:left="927"/>
        <w:rPr>
          <w:rFonts w:ascii="Times New Roman" w:hAnsi="Times New Roman"/>
          <w:color w:val="000000"/>
          <w:sz w:val="24"/>
          <w:szCs w:val="24"/>
          <w:lang w:bidi="it-IT"/>
        </w:rPr>
      </w:pPr>
      <w:r>
        <w:rPr>
          <w:rFonts w:ascii="Times New Roman" w:hAnsi="Times New Roman"/>
          <w:color w:val="000000"/>
          <w:sz w:val="24"/>
          <w:szCs w:val="24"/>
          <w:lang w:bidi="it-IT"/>
        </w:rPr>
        <w:t>Le pubblicazioni devono essere edite a stampa.</w:t>
      </w:r>
    </w:p>
    <w:p w:rsidR="0013244B" w:rsidRDefault="0013244B" w:rsidP="0013244B">
      <w:pPr>
        <w:pStyle w:val="Paragrafoelenco"/>
        <w:rPr>
          <w:rFonts w:ascii="Times New Roman" w:hAnsi="Times New Roman"/>
          <w:b/>
          <w:snapToGrid w:val="0"/>
          <w:sz w:val="24"/>
        </w:rPr>
      </w:pPr>
    </w:p>
    <w:p w:rsidR="0013244B" w:rsidRDefault="0013244B" w:rsidP="0013244B">
      <w:pPr>
        <w:rPr>
          <w:rFonts w:ascii="Times New Roman" w:hAnsi="Times New Roman"/>
          <w:b/>
          <w:snapToGrid w:val="0"/>
          <w:sz w:val="24"/>
        </w:rPr>
      </w:pPr>
      <w:r>
        <w:rPr>
          <w:rFonts w:ascii="Times New Roman" w:hAnsi="Times New Roman"/>
          <w:b/>
          <w:snapToGrid w:val="0"/>
          <w:sz w:val="24"/>
        </w:rPr>
        <w:t xml:space="preserve">4) Curriculum formativo e professionale fino ad un </w:t>
      </w:r>
      <w:proofErr w:type="spellStart"/>
      <w:r>
        <w:rPr>
          <w:rFonts w:ascii="Times New Roman" w:hAnsi="Times New Roman"/>
          <w:b/>
          <w:snapToGrid w:val="0"/>
          <w:sz w:val="24"/>
        </w:rPr>
        <w:t>max</w:t>
      </w:r>
      <w:proofErr w:type="spellEnd"/>
      <w:r>
        <w:rPr>
          <w:rFonts w:ascii="Times New Roman" w:hAnsi="Times New Roman"/>
          <w:b/>
          <w:snapToGrid w:val="0"/>
          <w:sz w:val="24"/>
        </w:rPr>
        <w:t xml:space="preserve"> di punti 4: </w:t>
      </w:r>
    </w:p>
    <w:p w:rsidR="0013244B" w:rsidRDefault="0013244B" w:rsidP="0013244B">
      <w:pPr>
        <w:widowControl w:val="0"/>
        <w:spacing w:after="0" w:line="274" w:lineRule="exact"/>
        <w:jc w:val="both"/>
        <w:rPr>
          <w:rFonts w:ascii="Times New Roman" w:eastAsia="Times New Roman" w:hAnsi="Times New Roman" w:cs="Times New Roman"/>
          <w:color w:val="000000"/>
          <w:sz w:val="24"/>
          <w:szCs w:val="24"/>
          <w:lang w:eastAsia="it-IT" w:bidi="it-IT"/>
        </w:rPr>
      </w:pPr>
      <w:r>
        <w:rPr>
          <w:rFonts w:ascii="Times New Roman" w:eastAsia="Times New Roman" w:hAnsi="Times New Roman" w:cs="Times New Roman"/>
          <w:color w:val="000000"/>
          <w:sz w:val="24"/>
          <w:szCs w:val="24"/>
          <w:lang w:eastAsia="it-IT" w:bidi="it-IT"/>
        </w:rPr>
        <w:t>Valutazione globale e motivata, sulla base delle attività professionali e di studio, della tipologia qualitativa e quantitativa delle stesse, formalmente documentate, non riferibili a titoli già valutati nelle precedenti categorie:</w:t>
      </w:r>
    </w:p>
    <w:p w:rsidR="0013244B" w:rsidRDefault="0013244B" w:rsidP="0013244B">
      <w:pPr>
        <w:pStyle w:val="Paragrafoelenco"/>
        <w:widowControl w:val="0"/>
        <w:spacing w:line="274" w:lineRule="exact"/>
        <w:ind w:left="927"/>
        <w:rPr>
          <w:rFonts w:ascii="Times New Roman" w:hAnsi="Times New Roman"/>
          <w:color w:val="000000"/>
          <w:sz w:val="24"/>
          <w:szCs w:val="24"/>
          <w:lang w:bidi="it-IT"/>
        </w:rPr>
      </w:pPr>
    </w:p>
    <w:tbl>
      <w:tblPr>
        <w:tblW w:w="9727" w:type="dxa"/>
        <w:tblInd w:w="55" w:type="dxa"/>
        <w:tblCellMar>
          <w:left w:w="70" w:type="dxa"/>
          <w:right w:w="70" w:type="dxa"/>
        </w:tblCellMar>
        <w:tblLook w:val="04A0" w:firstRow="1" w:lastRow="0" w:firstColumn="1" w:lastColumn="0" w:noHBand="0" w:noVBand="1"/>
      </w:tblPr>
      <w:tblGrid>
        <w:gridCol w:w="316"/>
        <w:gridCol w:w="9411"/>
      </w:tblGrid>
      <w:tr w:rsidR="0013244B" w:rsidTr="0013244B">
        <w:trPr>
          <w:trHeight w:val="630"/>
        </w:trPr>
        <w:tc>
          <w:tcPr>
            <w:tcW w:w="316" w:type="dxa"/>
            <w:tcBorders>
              <w:top w:val="single" w:sz="4" w:space="0" w:color="auto"/>
              <w:left w:val="single" w:sz="4" w:space="0" w:color="auto"/>
              <w:bottom w:val="single" w:sz="4" w:space="0" w:color="auto"/>
              <w:right w:val="single" w:sz="4" w:space="0" w:color="auto"/>
            </w:tcBorders>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a</w:t>
            </w:r>
          </w:p>
        </w:tc>
        <w:tc>
          <w:tcPr>
            <w:tcW w:w="9411" w:type="dxa"/>
            <w:tcBorders>
              <w:top w:val="single" w:sz="4" w:space="0" w:color="auto"/>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dottorato di ricerca conseguito, attinente alla posizione messa a selezione, p. 1,00 per anno fino ad un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di p. 2;</w:t>
            </w:r>
          </w:p>
        </w:tc>
      </w:tr>
      <w:tr w:rsidR="0013244B" w:rsidTr="0013244B">
        <w:trPr>
          <w:trHeight w:val="126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b</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master universitari di 1° liv./corsi di perfezionamento universitari/corsi formazione avanzata universitari attinenti, di durata almeno annuale  p. 0.40 per singolo master/corso, p. 0,20 se inferiore all’anno e superiore o uguale a mesi tre, fino a max. p. 0,80;</w:t>
            </w:r>
          </w:p>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master universitari di 2° liv. 0,60</w:t>
            </w:r>
          </w:p>
        </w:tc>
      </w:tr>
      <w:tr w:rsidR="0013244B" w:rsidTr="0013244B">
        <w:trPr>
          <w:trHeight w:val="945"/>
        </w:trPr>
        <w:tc>
          <w:tcPr>
            <w:tcW w:w="316" w:type="dxa"/>
            <w:tcBorders>
              <w:top w:val="nil"/>
              <w:left w:val="single" w:sz="4" w:space="0" w:color="auto"/>
              <w:bottom w:val="single" w:sz="4" w:space="0" w:color="auto"/>
              <w:right w:val="single" w:sz="4" w:space="0" w:color="auto"/>
            </w:tcBorders>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c</w:t>
            </w:r>
          </w:p>
        </w:tc>
        <w:tc>
          <w:tcPr>
            <w:tcW w:w="9411" w:type="dxa"/>
            <w:tcBorders>
              <w:top w:val="nil"/>
              <w:left w:val="nil"/>
              <w:bottom w:val="single" w:sz="4" w:space="0" w:color="auto"/>
              <w:right w:val="single" w:sz="4" w:space="0" w:color="auto"/>
            </w:tcBorders>
            <w:vAlign w:val="bottom"/>
            <w:hideMark/>
          </w:tcPr>
          <w:p w:rsidR="0013244B" w:rsidRDefault="0013244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master/corsi di perfezionamento/corsi di formazione avanzata c/o altri enti attinenti di durata almeno annuale p. 0,30,  inferiore ad un anno e superiore o uguale a mesi tre p. 0.05 fino a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p. 0.60</w:t>
            </w:r>
          </w:p>
        </w:tc>
      </w:tr>
      <w:tr w:rsidR="0013244B" w:rsidTr="0013244B">
        <w:trPr>
          <w:trHeight w:val="31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d</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attestato di formazione manageriale p. 0.50;</w:t>
            </w:r>
          </w:p>
        </w:tc>
      </w:tr>
      <w:tr w:rsidR="0013244B" w:rsidTr="0013244B">
        <w:trPr>
          <w:trHeight w:val="94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lastRenderedPageBreak/>
              <w:t>e</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contratti di collaborazione coordinata continuativa/</w:t>
            </w:r>
            <w:r>
              <w:rPr>
                <w:rFonts w:ascii="Times New Roman" w:eastAsia="Times New Roman" w:hAnsi="Times New Roman"/>
                <w:b/>
                <w:color w:val="000000"/>
                <w:sz w:val="24"/>
                <w:szCs w:val="24"/>
                <w:lang w:eastAsia="it-IT"/>
              </w:rPr>
              <w:t>borse di studio</w:t>
            </w:r>
            <w:r>
              <w:rPr>
                <w:rFonts w:ascii="Times New Roman" w:eastAsia="Times New Roman" w:hAnsi="Times New Roman"/>
                <w:color w:val="000000"/>
                <w:sz w:val="24"/>
                <w:szCs w:val="24"/>
                <w:lang w:eastAsia="it-IT"/>
              </w:rPr>
              <w:t>/assegni di ricerca sanitaria attinenti presso strutture sanitarie/enti pubblici p. 0.40 per anno;</w:t>
            </w:r>
          </w:p>
        </w:tc>
      </w:tr>
      <w:tr w:rsidR="0013244B" w:rsidTr="0013244B">
        <w:trPr>
          <w:trHeight w:val="945"/>
        </w:trPr>
        <w:tc>
          <w:tcPr>
            <w:tcW w:w="316" w:type="dxa"/>
            <w:tcBorders>
              <w:top w:val="nil"/>
              <w:left w:val="single" w:sz="4" w:space="0" w:color="auto"/>
              <w:bottom w:val="single" w:sz="4" w:space="0" w:color="auto"/>
              <w:right w:val="single" w:sz="4" w:space="0" w:color="auto"/>
            </w:tcBorders>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f</w:t>
            </w:r>
          </w:p>
        </w:tc>
        <w:tc>
          <w:tcPr>
            <w:tcW w:w="9411" w:type="dxa"/>
            <w:tcBorders>
              <w:top w:val="nil"/>
              <w:left w:val="nil"/>
              <w:bottom w:val="single" w:sz="4" w:space="0" w:color="auto"/>
              <w:right w:val="single" w:sz="4" w:space="0" w:color="auto"/>
            </w:tcBorders>
            <w:vAlign w:val="bottom"/>
            <w:hideMark/>
          </w:tcPr>
          <w:p w:rsidR="0013244B" w:rsidRDefault="0013244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contratti di collaborazione coordinata continuativa/borse di studio/assegni di ricerca sanitaria attinenti presso strutture sanitarie accreditate/convenzionate p. 0,15 per anno</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g</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contratti libero professionali/prestazione opera attinenti, presso strutture sanitarie/enti pubblici p. 0.40 per anno;</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h</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contratti libero professionali/prestazione opera attinenti, presso strutture sanitarie accreditate/convenzionate  p. 0,15 per anno;</w:t>
            </w:r>
          </w:p>
        </w:tc>
      </w:tr>
      <w:tr w:rsidR="0013244B" w:rsidTr="0013244B">
        <w:trPr>
          <w:trHeight w:val="94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i</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incarichi di insegnamento attinenti conferiti da università statali/private nazionali/internazionali di durata annuale fino a p. 0.60 per anno accademico</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l</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incarichi di insegnamento attinenti conferiti da altri enti pubblici di durata annuale fino a p. 0.25 per anno accademico o scolastico;</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m</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Attività di docenza in corsi di aggiornamento/formazione in materie attinenti p. 0.06 fino a un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di p. 0,25;</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n</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relatore a congressi/convegni/seminari attinenti p. 0.06 per singola partecipazione, fino a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0.60 p.;</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o</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attività di ricerca in progetti regionali/nazionali  attinenti  p. 0.10 per singolo progetto, fino a max. di p. 1.00;</w:t>
            </w:r>
          </w:p>
        </w:tc>
      </w:tr>
      <w:tr w:rsidR="0013244B" w:rsidTr="0013244B">
        <w:trPr>
          <w:trHeight w:val="630"/>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p</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attività di ricerca in progetti internazionali attinenti  p. 0.20 per singolo progetto, fino a max. di p. 1,00;</w:t>
            </w:r>
          </w:p>
        </w:tc>
      </w:tr>
      <w:tr w:rsidR="0013244B" w:rsidTr="0013244B">
        <w:trPr>
          <w:trHeight w:val="94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q</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stage presso strutture sanitarie nazionali/internazionali attinenti post specializzazione  periodi non inferiori a 3 mesi p. 0.10 per trimestre, fino ad un massimo di p. 0.30;</w:t>
            </w:r>
          </w:p>
        </w:tc>
      </w:tr>
      <w:tr w:rsidR="0013244B" w:rsidTr="0013244B">
        <w:trPr>
          <w:trHeight w:val="94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r</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corsi/convegni/congressi/seminari di aggiornamento nazionali/ internazionali attinenti  anche con conseguimento ECM : fino a 10 eventi p. 0,05; fino a 20 eventi p. 0,08; fino a 30 eventi p. 0,10; fino a 50 eventi p. 040; oltre i 50 eventi p. 0,50; p. 0,10 aggiuntivi per corsi di elevato contenuto ed impegno, a giudizio della commissione.</w:t>
            </w:r>
          </w:p>
        </w:tc>
      </w:tr>
      <w:tr w:rsidR="0013244B" w:rsidTr="0013244B">
        <w:trPr>
          <w:trHeight w:val="945"/>
        </w:trPr>
        <w:tc>
          <w:tcPr>
            <w:tcW w:w="316" w:type="dxa"/>
            <w:tcBorders>
              <w:top w:val="nil"/>
              <w:left w:val="single" w:sz="4" w:space="0" w:color="auto"/>
              <w:bottom w:val="single" w:sz="4" w:space="0" w:color="auto"/>
              <w:right w:val="single" w:sz="4" w:space="0" w:color="auto"/>
            </w:tcBorders>
            <w:noWrap/>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s</w:t>
            </w:r>
          </w:p>
        </w:tc>
        <w:tc>
          <w:tcPr>
            <w:tcW w:w="9411" w:type="dxa"/>
            <w:tcBorders>
              <w:top w:val="nil"/>
              <w:left w:val="nil"/>
              <w:bottom w:val="single" w:sz="4" w:space="0" w:color="auto"/>
              <w:right w:val="single" w:sz="4" w:space="0" w:color="auto"/>
            </w:tcBorders>
            <w:noWrap/>
            <w:vAlign w:val="center"/>
            <w:hideMark/>
          </w:tcPr>
          <w:p w:rsidR="0013244B" w:rsidRDefault="0013244B">
            <w:pPr>
              <w:spacing w:after="0" w:line="240" w:lineRule="auto"/>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casistica operatoria fino a un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di p. 1,5 a giudizio della commissione</w:t>
            </w:r>
          </w:p>
        </w:tc>
      </w:tr>
      <w:tr w:rsidR="0013244B" w:rsidTr="0013244B">
        <w:trPr>
          <w:trHeight w:val="945"/>
        </w:trPr>
        <w:tc>
          <w:tcPr>
            <w:tcW w:w="316" w:type="dxa"/>
            <w:tcBorders>
              <w:top w:val="nil"/>
              <w:left w:val="single" w:sz="4" w:space="0" w:color="auto"/>
              <w:bottom w:val="single" w:sz="4" w:space="0" w:color="auto"/>
              <w:right w:val="single" w:sz="4" w:space="0" w:color="auto"/>
            </w:tcBorders>
            <w:vAlign w:val="bottom"/>
            <w:hideMark/>
          </w:tcPr>
          <w:p w:rsidR="0013244B" w:rsidRDefault="0013244B">
            <w:pPr>
              <w:spacing w:after="0" w:line="240" w:lineRule="auto"/>
              <w:jc w:val="center"/>
              <w:rPr>
                <w:rFonts w:eastAsia="Times New Roman" w:cs="Calibri"/>
                <w:color w:val="000000"/>
                <w:lang w:eastAsia="it-IT"/>
              </w:rPr>
            </w:pPr>
            <w:r>
              <w:rPr>
                <w:rFonts w:eastAsia="Times New Roman" w:cs="Calibri"/>
                <w:color w:val="000000"/>
                <w:lang w:eastAsia="it-IT"/>
              </w:rPr>
              <w:t> t</w:t>
            </w:r>
          </w:p>
        </w:tc>
        <w:tc>
          <w:tcPr>
            <w:tcW w:w="9411" w:type="dxa"/>
            <w:tcBorders>
              <w:top w:val="nil"/>
              <w:left w:val="nil"/>
              <w:bottom w:val="single" w:sz="4" w:space="0" w:color="auto"/>
              <w:right w:val="single" w:sz="4" w:space="0" w:color="auto"/>
            </w:tcBorders>
            <w:vAlign w:val="bottom"/>
            <w:hideMark/>
          </w:tcPr>
          <w:p w:rsidR="0013244B" w:rsidRDefault="0013244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altre attività, ritenute attinenti, formalmente documentate, idonee ad evidenziare il livello di qualificazione del candidato,  fino a </w:t>
            </w:r>
            <w:proofErr w:type="spellStart"/>
            <w:r>
              <w:rPr>
                <w:rFonts w:ascii="Times New Roman" w:eastAsia="Times New Roman" w:hAnsi="Times New Roman"/>
                <w:color w:val="000000"/>
                <w:sz w:val="24"/>
                <w:szCs w:val="24"/>
                <w:lang w:eastAsia="it-IT"/>
              </w:rPr>
              <w:t>max</w:t>
            </w:r>
            <w:proofErr w:type="spellEnd"/>
            <w:r>
              <w:rPr>
                <w:rFonts w:ascii="Times New Roman" w:eastAsia="Times New Roman" w:hAnsi="Times New Roman"/>
                <w:color w:val="000000"/>
                <w:sz w:val="24"/>
                <w:szCs w:val="24"/>
                <w:lang w:eastAsia="it-IT"/>
              </w:rPr>
              <w:t xml:space="preserve"> p. 0,50.</w:t>
            </w:r>
          </w:p>
        </w:tc>
      </w:tr>
    </w:tbl>
    <w:p w:rsidR="0013244B" w:rsidRDefault="0013244B" w:rsidP="0013244B">
      <w:pPr>
        <w:widowControl w:val="0"/>
        <w:tabs>
          <w:tab w:val="left" w:pos="348"/>
        </w:tabs>
        <w:spacing w:after="244" w:line="278" w:lineRule="exact"/>
        <w:rPr>
          <w:rFonts w:ascii="Times New Roman" w:eastAsia="Times New Roman" w:hAnsi="Times New Roman"/>
          <w:color w:val="000000"/>
          <w:sz w:val="24"/>
          <w:szCs w:val="24"/>
          <w:lang w:eastAsia="it-IT"/>
        </w:rPr>
      </w:pPr>
    </w:p>
    <w:p w:rsidR="0013244B" w:rsidRDefault="0013244B" w:rsidP="0013244B">
      <w:pPr>
        <w:widowControl w:val="0"/>
        <w:tabs>
          <w:tab w:val="left" w:pos="348"/>
        </w:tabs>
        <w:spacing w:after="244" w:line="278" w:lineRule="exact"/>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Non sarà valutata l’attività di guardia medica, prestazioni occasionali, continuità assistenziale, sostituzioni di medico generico/pediatra di libera scelta, frequenza volontaria.</w:t>
      </w:r>
    </w:p>
    <w:p w:rsidR="0013244B" w:rsidRPr="00560458" w:rsidRDefault="0013244B" w:rsidP="0013244B">
      <w:pPr>
        <w:widowControl w:val="0"/>
        <w:spacing w:after="0" w:line="278"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Per quanto concerne lo svolgimento delle prove previste dal bando, stabilisce le seguenti modalità di svolgimento:</w:t>
      </w:r>
    </w:p>
    <w:p w:rsidR="0013244B" w:rsidRPr="0061407E" w:rsidRDefault="0013244B" w:rsidP="0013244B">
      <w:pPr>
        <w:pStyle w:val="Paragrafoelenco"/>
        <w:widowControl w:val="0"/>
        <w:numPr>
          <w:ilvl w:val="0"/>
          <w:numId w:val="4"/>
        </w:numPr>
        <w:spacing w:line="278" w:lineRule="exact"/>
        <w:rPr>
          <w:rFonts w:ascii="Times New Roman" w:hAnsi="Times New Roman" w:cs="Times New Roman"/>
          <w:sz w:val="24"/>
          <w:szCs w:val="24"/>
        </w:rPr>
      </w:pPr>
      <w:r w:rsidRPr="0061407E">
        <w:rPr>
          <w:rFonts w:ascii="Times New Roman" w:hAnsi="Times New Roman" w:cs="Times New Roman"/>
          <w:sz w:val="24"/>
          <w:szCs w:val="24"/>
        </w:rPr>
        <w:t xml:space="preserve">per la </w:t>
      </w:r>
      <w:r w:rsidRPr="0061407E">
        <w:rPr>
          <w:rFonts w:ascii="Times New Roman" w:hAnsi="Times New Roman" w:cs="Times New Roman"/>
          <w:b/>
          <w:bCs/>
          <w:color w:val="000000"/>
          <w:sz w:val="24"/>
          <w:szCs w:val="24"/>
          <w:shd w:val="clear" w:color="auto" w:fill="FFFFFF"/>
          <w:lang w:bidi="it-IT"/>
        </w:rPr>
        <w:t xml:space="preserve">prova scritta </w:t>
      </w:r>
      <w:r w:rsidRPr="0061407E">
        <w:rPr>
          <w:rFonts w:ascii="Times New Roman" w:hAnsi="Times New Roman" w:cs="Times New Roman"/>
          <w:sz w:val="24"/>
          <w:szCs w:val="24"/>
        </w:rPr>
        <w:t>verranno predisposte tre buste contenenti le tracce stabilite, tenuto conto delle previsioni in argomento statuite dal bando. La terna così composta sarà poi oggetto di estrazione a sorte da parte di un candidato tra quelli presenti alla relativa prova.</w:t>
      </w:r>
    </w:p>
    <w:p w:rsidR="0013244B" w:rsidRPr="00560458" w:rsidRDefault="0013244B" w:rsidP="0013244B">
      <w:pPr>
        <w:widowControl w:val="0"/>
        <w:spacing w:after="0" w:line="274"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lastRenderedPageBreak/>
        <w:t>La prova scritta sarà valutata, per un massimale complessivo di 30 punti, sulla base dei criteri di seguito riportati:</w:t>
      </w:r>
    </w:p>
    <w:p w:rsidR="0013244B" w:rsidRPr="00560458"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0458">
        <w:rPr>
          <w:rFonts w:ascii="Times New Roman" w:eastAsia="Times New Roman" w:hAnsi="Times New Roman" w:cs="Times New Roman"/>
          <w:sz w:val="24"/>
          <w:szCs w:val="24"/>
        </w:rPr>
        <w:t xml:space="preserve">correttezza </w:t>
      </w:r>
    </w:p>
    <w:p w:rsidR="0013244B" w:rsidRPr="00560458"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0458">
        <w:rPr>
          <w:rFonts w:ascii="Times New Roman" w:eastAsia="Times New Roman" w:hAnsi="Times New Roman" w:cs="Times New Roman"/>
          <w:sz w:val="24"/>
          <w:szCs w:val="24"/>
        </w:rPr>
        <w:t xml:space="preserve">completezza </w:t>
      </w:r>
    </w:p>
    <w:p w:rsidR="0013244B" w:rsidRPr="00560458" w:rsidRDefault="0013244B" w:rsidP="0013244B">
      <w:pPr>
        <w:widowControl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0458">
        <w:rPr>
          <w:rFonts w:ascii="Times New Roman" w:eastAsia="Times New Roman" w:hAnsi="Times New Roman" w:cs="Times New Roman"/>
          <w:sz w:val="24"/>
          <w:szCs w:val="24"/>
        </w:rPr>
        <w:t xml:space="preserve">chiarezza espositiva </w:t>
      </w:r>
    </w:p>
    <w:p w:rsidR="0013244B" w:rsidRPr="00560458" w:rsidRDefault="0013244B" w:rsidP="0013244B">
      <w:pPr>
        <w:widowControl w:val="0"/>
        <w:spacing w:after="0" w:line="27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0458">
        <w:rPr>
          <w:rFonts w:ascii="Times New Roman" w:eastAsia="Times New Roman" w:hAnsi="Times New Roman" w:cs="Times New Roman"/>
          <w:sz w:val="24"/>
          <w:szCs w:val="24"/>
        </w:rPr>
        <w:t>contenuto</w:t>
      </w:r>
      <w:r>
        <w:rPr>
          <w:rFonts w:ascii="Times New Roman" w:eastAsia="Times New Roman" w:hAnsi="Times New Roman" w:cs="Times New Roman"/>
          <w:sz w:val="24"/>
          <w:szCs w:val="24"/>
        </w:rPr>
        <w:t>.</w:t>
      </w:r>
    </w:p>
    <w:p w:rsidR="0013244B" w:rsidRPr="00560458" w:rsidRDefault="0013244B" w:rsidP="0013244B">
      <w:pPr>
        <w:widowControl w:val="0"/>
        <w:spacing w:after="0" w:line="274" w:lineRule="exact"/>
        <w:ind w:left="180"/>
        <w:jc w:val="both"/>
        <w:rPr>
          <w:rFonts w:ascii="Times New Roman" w:eastAsia="Times New Roman" w:hAnsi="Times New Roman" w:cs="Times New Roman"/>
          <w:sz w:val="24"/>
          <w:szCs w:val="24"/>
        </w:rPr>
      </w:pPr>
    </w:p>
    <w:p w:rsidR="0013244B" w:rsidRPr="00560458" w:rsidRDefault="0013244B" w:rsidP="0013244B">
      <w:pPr>
        <w:widowControl w:val="0"/>
        <w:spacing w:after="0" w:line="278" w:lineRule="exact"/>
        <w:jc w:val="both"/>
        <w:rPr>
          <w:rFonts w:ascii="Times New Roman" w:eastAsia="Times New Roman" w:hAnsi="Times New Roman" w:cs="Times New Roman"/>
          <w:sz w:val="24"/>
          <w:szCs w:val="24"/>
        </w:rPr>
      </w:pPr>
      <w:r w:rsidRPr="00B71EB6">
        <w:rPr>
          <w:rFonts w:ascii="Times New Roman" w:eastAsia="Times New Roman" w:hAnsi="Times New Roman" w:cs="Times New Roman"/>
          <w:sz w:val="24"/>
          <w:szCs w:val="24"/>
        </w:rPr>
        <w:t xml:space="preserve">Relativamente alla </w:t>
      </w:r>
      <w:r w:rsidRPr="00B71EB6">
        <w:rPr>
          <w:rFonts w:ascii="Times New Roman" w:eastAsia="Times New Roman" w:hAnsi="Times New Roman" w:cs="Times New Roman"/>
          <w:b/>
          <w:bCs/>
          <w:color w:val="000000"/>
          <w:sz w:val="24"/>
          <w:szCs w:val="24"/>
          <w:shd w:val="clear" w:color="auto" w:fill="FFFFFF"/>
          <w:lang w:eastAsia="it-IT" w:bidi="it-IT"/>
        </w:rPr>
        <w:t xml:space="preserve">prova pratica, </w:t>
      </w:r>
      <w:r w:rsidRPr="00B71EB6">
        <w:rPr>
          <w:rFonts w:ascii="Times New Roman" w:eastAsia="Times New Roman" w:hAnsi="Times New Roman" w:cs="Times New Roman"/>
          <w:sz w:val="24"/>
          <w:szCs w:val="24"/>
        </w:rPr>
        <w:t>la Commissione</w:t>
      </w:r>
      <w:r>
        <w:rPr>
          <w:rFonts w:ascii="Times New Roman" w:eastAsia="Times New Roman" w:hAnsi="Times New Roman" w:cs="Times New Roman"/>
          <w:sz w:val="24"/>
          <w:szCs w:val="24"/>
        </w:rPr>
        <w:t>,</w:t>
      </w:r>
      <w:r w:rsidRPr="00B71EB6">
        <w:rPr>
          <w:rFonts w:ascii="Times New Roman" w:eastAsia="Times New Roman" w:hAnsi="Times New Roman" w:cs="Times New Roman"/>
          <w:sz w:val="24"/>
          <w:szCs w:val="24"/>
        </w:rPr>
        <w:t xml:space="preserve"> preso atto di quanto previsto dal bando, decide che consisterà  nella descrizione di una procedura inerente la specialità di</w:t>
      </w:r>
      <w:r>
        <w:rPr>
          <w:rFonts w:ascii="Times New Roman" w:eastAsia="Times New Roman" w:hAnsi="Times New Roman" w:cs="Times New Roman"/>
          <w:sz w:val="24"/>
          <w:szCs w:val="24"/>
        </w:rPr>
        <w:t xml:space="preserve"> Ortopedia e Traumatologia</w:t>
      </w:r>
      <w:r w:rsidRPr="00B71EB6">
        <w:rPr>
          <w:rFonts w:ascii="Times New Roman" w:eastAsia="Times New Roman" w:hAnsi="Times New Roman" w:cs="Times New Roman"/>
          <w:sz w:val="24"/>
          <w:szCs w:val="24"/>
        </w:rPr>
        <w:t>; il candidato, all’occorrenza</w:t>
      </w:r>
      <w:r>
        <w:rPr>
          <w:rFonts w:ascii="Times New Roman" w:eastAsia="Times New Roman" w:hAnsi="Times New Roman" w:cs="Times New Roman"/>
          <w:sz w:val="24"/>
          <w:szCs w:val="24"/>
        </w:rPr>
        <w:t>,</w:t>
      </w:r>
      <w:r w:rsidRPr="00B71EB6">
        <w:rPr>
          <w:rFonts w:ascii="Times New Roman" w:eastAsia="Times New Roman" w:hAnsi="Times New Roman" w:cs="Times New Roman"/>
          <w:sz w:val="24"/>
          <w:szCs w:val="24"/>
        </w:rPr>
        <w:t xml:space="preserve"> si avvarrà di strumenti ed apparecchiature messe a disposizione dalla Commissione.</w:t>
      </w:r>
    </w:p>
    <w:p w:rsidR="0013244B" w:rsidRPr="00560458" w:rsidRDefault="0013244B" w:rsidP="0013244B">
      <w:pPr>
        <w:widowControl w:val="0"/>
        <w:spacing w:after="0" w:line="278"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 xml:space="preserve">Come per la prova scritta, la prova sarà sorteggiata nell’ambito di una terna di prove predisposte dalla Commissione immediatamente prima del suo svolgimento. </w:t>
      </w:r>
    </w:p>
    <w:p w:rsidR="0013244B" w:rsidRPr="00560458" w:rsidRDefault="0013244B" w:rsidP="0013244B">
      <w:pPr>
        <w:spacing w:after="0" w:line="240" w:lineRule="auto"/>
        <w:jc w:val="both"/>
        <w:rPr>
          <w:rFonts w:ascii="Times New Roman" w:eastAsia="Times New Roman" w:hAnsi="Times New Roman" w:cs="Times New Roman"/>
          <w:snapToGrid w:val="0"/>
          <w:sz w:val="24"/>
          <w:szCs w:val="24"/>
          <w:lang w:eastAsia="it-IT"/>
        </w:rPr>
      </w:pPr>
    </w:p>
    <w:p w:rsidR="0013244B" w:rsidRPr="00560458" w:rsidRDefault="0013244B" w:rsidP="0013244B">
      <w:pPr>
        <w:widowControl w:val="0"/>
        <w:spacing w:after="0" w:line="278"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La prova pratica sarà valutata, per un massimale complessivo di 30 punti, sulla base dei criteri di seguito riportati:</w:t>
      </w:r>
    </w:p>
    <w:p w:rsidR="0013244B" w:rsidRPr="0061407E" w:rsidRDefault="0013244B" w:rsidP="0013244B">
      <w:pPr>
        <w:pStyle w:val="Paragrafoelenco"/>
        <w:widowControl w:val="0"/>
        <w:spacing w:line="278" w:lineRule="exact"/>
        <w:ind w:left="0"/>
        <w:rPr>
          <w:rFonts w:ascii="Times New Roman" w:hAnsi="Times New Roman" w:cs="Times New Roman"/>
          <w:sz w:val="24"/>
          <w:szCs w:val="24"/>
        </w:rPr>
      </w:pPr>
      <w:r>
        <w:rPr>
          <w:rFonts w:ascii="Times New Roman" w:hAnsi="Times New Roman" w:cs="Times New Roman"/>
          <w:sz w:val="24"/>
          <w:szCs w:val="24"/>
        </w:rPr>
        <w:t>-</w:t>
      </w:r>
      <w:r w:rsidRPr="0061407E">
        <w:rPr>
          <w:rFonts w:ascii="Times New Roman" w:hAnsi="Times New Roman" w:cs="Times New Roman"/>
          <w:sz w:val="24"/>
          <w:szCs w:val="24"/>
        </w:rPr>
        <w:t>appropriatezza</w:t>
      </w:r>
      <w:r w:rsidRPr="0061407E">
        <w:rPr>
          <w:rFonts w:ascii="Times New Roman" w:hAnsi="Times New Roman" w:cs="Times New Roman"/>
          <w:sz w:val="24"/>
          <w:szCs w:val="24"/>
        </w:rPr>
        <w:br/>
        <w:t>-capacità diagnostica</w:t>
      </w:r>
    </w:p>
    <w:p w:rsidR="0013244B" w:rsidRPr="00560458" w:rsidRDefault="0013244B" w:rsidP="0013244B">
      <w:pPr>
        <w:widowControl w:val="0"/>
        <w:spacing w:after="0" w:line="27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60458">
        <w:rPr>
          <w:rFonts w:ascii="Times New Roman" w:eastAsia="Times New Roman" w:hAnsi="Times New Roman" w:cs="Times New Roman"/>
          <w:sz w:val="24"/>
          <w:szCs w:val="24"/>
        </w:rPr>
        <w:t>capacità di esecuzione</w:t>
      </w:r>
      <w:r>
        <w:rPr>
          <w:rFonts w:ascii="Times New Roman" w:eastAsia="Times New Roman" w:hAnsi="Times New Roman" w:cs="Times New Roman"/>
          <w:sz w:val="24"/>
          <w:szCs w:val="24"/>
        </w:rPr>
        <w:t>.</w:t>
      </w:r>
    </w:p>
    <w:p w:rsidR="0013244B" w:rsidRPr="00560458" w:rsidRDefault="0013244B" w:rsidP="0013244B">
      <w:pPr>
        <w:widowControl w:val="0"/>
        <w:spacing w:after="0" w:line="274" w:lineRule="exact"/>
        <w:jc w:val="both"/>
        <w:rPr>
          <w:rFonts w:ascii="Times New Roman" w:eastAsia="Times New Roman" w:hAnsi="Times New Roman" w:cs="Times New Roman"/>
          <w:sz w:val="24"/>
          <w:szCs w:val="24"/>
        </w:rPr>
      </w:pPr>
    </w:p>
    <w:p w:rsidR="0013244B" w:rsidRDefault="0013244B" w:rsidP="0013244B">
      <w:pPr>
        <w:widowControl w:val="0"/>
        <w:spacing w:after="0" w:line="274"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 xml:space="preserve">In riferimento alla </w:t>
      </w:r>
      <w:r w:rsidRPr="00560458">
        <w:rPr>
          <w:rFonts w:ascii="Times New Roman" w:eastAsia="Times New Roman" w:hAnsi="Times New Roman" w:cs="Times New Roman"/>
          <w:b/>
          <w:bCs/>
          <w:color w:val="000000"/>
          <w:sz w:val="24"/>
          <w:szCs w:val="24"/>
          <w:shd w:val="clear" w:color="auto" w:fill="FFFFFF"/>
          <w:lang w:eastAsia="it-IT" w:bidi="it-IT"/>
        </w:rPr>
        <w:t xml:space="preserve">prova orale, </w:t>
      </w:r>
      <w:r w:rsidRPr="00560458">
        <w:rPr>
          <w:rFonts w:ascii="Times New Roman" w:eastAsia="Times New Roman" w:hAnsi="Times New Roman" w:cs="Times New Roman"/>
          <w:sz w:val="24"/>
          <w:szCs w:val="24"/>
        </w:rPr>
        <w:t xml:space="preserve">la Commissione stabilisce che la stessa consisterà nella risposta orale ad un argomento, da sottoporre al candidato mediante estrazione a sorte tra </w:t>
      </w:r>
      <w:r>
        <w:rPr>
          <w:rFonts w:ascii="Times New Roman" w:eastAsia="Times New Roman" w:hAnsi="Times New Roman" w:cs="Times New Roman"/>
          <w:sz w:val="24"/>
          <w:szCs w:val="24"/>
        </w:rPr>
        <w:t xml:space="preserve">una serie argomenti predisposti dalla Commissione </w:t>
      </w:r>
      <w:r w:rsidRPr="00560458">
        <w:rPr>
          <w:rFonts w:ascii="Times New Roman" w:eastAsia="Times New Roman" w:hAnsi="Times New Roman" w:cs="Times New Roman"/>
          <w:sz w:val="24"/>
          <w:szCs w:val="24"/>
        </w:rPr>
        <w:t xml:space="preserve">immediatamente prima dello svolgimento della prova orale, sulle materie inerenti alla disciplina a concorso. </w:t>
      </w:r>
    </w:p>
    <w:p w:rsidR="0013244B" w:rsidRDefault="0013244B" w:rsidP="0013244B">
      <w:pPr>
        <w:widowControl w:val="0"/>
        <w:spacing w:after="0" w:line="240" w:lineRule="auto"/>
        <w:ind w:right="3"/>
        <w:jc w:val="both"/>
        <w:rPr>
          <w:rFonts w:ascii="Times New Roman" w:eastAsia="Times New Roman" w:hAnsi="Times New Roman" w:cs="Times New Roman"/>
          <w:bCs/>
          <w:color w:val="000000"/>
          <w:sz w:val="24"/>
          <w:szCs w:val="24"/>
          <w:shd w:val="clear" w:color="auto" w:fill="FFFFFF"/>
          <w:lang w:eastAsia="it-IT"/>
        </w:rPr>
      </w:pPr>
      <w:r w:rsidRPr="00B71EB6">
        <w:rPr>
          <w:rFonts w:ascii="Times New Roman" w:eastAsia="Times New Roman" w:hAnsi="Times New Roman" w:cs="Times New Roman"/>
          <w:bCs/>
          <w:color w:val="000000"/>
          <w:sz w:val="24"/>
          <w:szCs w:val="24"/>
          <w:shd w:val="clear" w:color="auto" w:fill="FFFFFF"/>
          <w:lang w:eastAsia="it-IT"/>
        </w:rPr>
        <w:t>Il colloquio verrà effettuato in aula aperta al pubblico</w:t>
      </w:r>
      <w:r>
        <w:rPr>
          <w:rFonts w:ascii="Times New Roman" w:eastAsia="Times New Roman" w:hAnsi="Times New Roman" w:cs="Times New Roman"/>
          <w:bCs/>
          <w:color w:val="000000"/>
          <w:sz w:val="24"/>
          <w:szCs w:val="24"/>
          <w:shd w:val="clear" w:color="auto" w:fill="FFFFFF"/>
          <w:lang w:eastAsia="it-IT"/>
        </w:rPr>
        <w:t>, fatta salva la esigenza di evitare assembramenti e di garantire la distanza tra i concorrenti come da  normativa COVID.</w:t>
      </w:r>
    </w:p>
    <w:p w:rsidR="0013244B" w:rsidRPr="00560458" w:rsidRDefault="0013244B" w:rsidP="0013244B">
      <w:pPr>
        <w:widowControl w:val="0"/>
        <w:spacing w:after="0" w:line="240" w:lineRule="auto"/>
        <w:ind w:right="3"/>
        <w:jc w:val="both"/>
        <w:rPr>
          <w:rFonts w:ascii="Times New Roman" w:eastAsia="Times New Roman" w:hAnsi="Times New Roman" w:cs="Times New Roman"/>
          <w:bCs/>
          <w:color w:val="000000"/>
          <w:sz w:val="24"/>
          <w:szCs w:val="24"/>
          <w:shd w:val="clear" w:color="auto" w:fill="FFFFFF"/>
          <w:lang w:eastAsia="it-IT"/>
        </w:rPr>
      </w:pPr>
      <w:r w:rsidRPr="00560458">
        <w:rPr>
          <w:rFonts w:ascii="Times New Roman" w:eastAsia="Times New Roman" w:hAnsi="Times New Roman" w:cs="Times New Roman"/>
          <w:bCs/>
          <w:color w:val="000000"/>
          <w:sz w:val="24"/>
          <w:szCs w:val="24"/>
          <w:shd w:val="clear" w:color="auto" w:fill="FFFFFF"/>
          <w:lang w:eastAsia="it-IT"/>
        </w:rPr>
        <w:t>Prima di effettuare il colloquio il candidato sarà invitato a prendere visione della valutazione dei propri titoli.</w:t>
      </w:r>
    </w:p>
    <w:p w:rsidR="0013244B" w:rsidRDefault="0013244B" w:rsidP="0013244B">
      <w:pPr>
        <w:widowControl w:val="0"/>
        <w:spacing w:after="0" w:line="283"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La prova orale sarà valutata, per un massimale complessivo di 20 punti, sulla base d</w:t>
      </w:r>
      <w:r>
        <w:rPr>
          <w:rFonts w:ascii="Times New Roman" w:eastAsia="Times New Roman" w:hAnsi="Times New Roman" w:cs="Times New Roman"/>
          <w:sz w:val="24"/>
          <w:szCs w:val="24"/>
        </w:rPr>
        <w:t>ei criteri di seguito riportati:</w:t>
      </w:r>
    </w:p>
    <w:p w:rsidR="0013244B" w:rsidRPr="00560458"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60458">
        <w:rPr>
          <w:rFonts w:ascii="Times New Roman" w:eastAsia="Times New Roman" w:hAnsi="Times New Roman" w:cs="Times New Roman"/>
          <w:sz w:val="24"/>
          <w:szCs w:val="24"/>
        </w:rPr>
        <w:t xml:space="preserve">correttezza </w:t>
      </w:r>
    </w:p>
    <w:p w:rsidR="0013244B" w:rsidRPr="00560458"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60458">
        <w:rPr>
          <w:rFonts w:ascii="Times New Roman" w:eastAsia="Times New Roman" w:hAnsi="Times New Roman" w:cs="Times New Roman"/>
          <w:sz w:val="24"/>
          <w:szCs w:val="24"/>
        </w:rPr>
        <w:t xml:space="preserve">completezza </w:t>
      </w:r>
    </w:p>
    <w:p w:rsidR="0013244B"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60458">
        <w:rPr>
          <w:rFonts w:ascii="Times New Roman" w:eastAsia="Times New Roman" w:hAnsi="Times New Roman" w:cs="Times New Roman"/>
          <w:sz w:val="24"/>
          <w:szCs w:val="24"/>
        </w:rPr>
        <w:t>chiarezza espositiva</w:t>
      </w:r>
      <w:r>
        <w:rPr>
          <w:rFonts w:ascii="Times New Roman" w:eastAsia="Times New Roman" w:hAnsi="Times New Roman" w:cs="Times New Roman"/>
          <w:sz w:val="24"/>
          <w:szCs w:val="24"/>
        </w:rPr>
        <w:t>.</w:t>
      </w:r>
      <w:r w:rsidRPr="00560458">
        <w:rPr>
          <w:rFonts w:ascii="Times New Roman" w:eastAsia="Times New Roman" w:hAnsi="Times New Roman" w:cs="Times New Roman"/>
          <w:sz w:val="24"/>
          <w:szCs w:val="24"/>
        </w:rPr>
        <w:t xml:space="preserve">                               </w:t>
      </w:r>
    </w:p>
    <w:p w:rsidR="0013244B" w:rsidRPr="00DB4578" w:rsidRDefault="0013244B" w:rsidP="0013244B">
      <w:pPr>
        <w:widowControl w:val="0"/>
        <w:tabs>
          <w:tab w:val="left" w:pos="425"/>
        </w:tabs>
        <w:spacing w:after="0" w:line="278" w:lineRule="exact"/>
        <w:jc w:val="both"/>
        <w:rPr>
          <w:rFonts w:ascii="Times New Roman" w:eastAsia="Times New Roman" w:hAnsi="Times New Roman" w:cs="Times New Roman"/>
          <w:sz w:val="24"/>
          <w:szCs w:val="24"/>
        </w:rPr>
      </w:pPr>
    </w:p>
    <w:p w:rsidR="0013244B" w:rsidRPr="00560458" w:rsidRDefault="0013244B" w:rsidP="0013244B">
      <w:pPr>
        <w:widowControl w:val="0"/>
        <w:spacing w:after="240" w:line="274" w:lineRule="exact"/>
        <w:jc w:val="both"/>
        <w:rPr>
          <w:rFonts w:ascii="Times New Roman" w:eastAsia="Times New Roman" w:hAnsi="Times New Roman" w:cs="Times New Roman"/>
          <w:sz w:val="24"/>
          <w:szCs w:val="24"/>
        </w:rPr>
      </w:pPr>
      <w:r w:rsidRPr="00560458">
        <w:rPr>
          <w:rFonts w:ascii="Times New Roman" w:eastAsia="Times New Roman" w:hAnsi="Times New Roman" w:cs="Times New Roman"/>
          <w:sz w:val="24"/>
          <w:szCs w:val="24"/>
        </w:rPr>
        <w:t>Non è ammesso in graduatoria il candidato che non supera tutte le prove.</w:t>
      </w:r>
      <w:r>
        <w:rPr>
          <w:rFonts w:ascii="Times New Roman" w:eastAsia="Times New Roman" w:hAnsi="Times New Roman" w:cs="Times New Roman"/>
          <w:sz w:val="24"/>
          <w:szCs w:val="24"/>
        </w:rPr>
        <w:t xml:space="preserve"> </w:t>
      </w:r>
      <w:r w:rsidRPr="00560458">
        <w:rPr>
          <w:rFonts w:ascii="Times New Roman" w:eastAsia="Times New Roman" w:hAnsi="Times New Roman" w:cs="Times New Roman"/>
          <w:sz w:val="24"/>
          <w:szCs w:val="24"/>
        </w:rPr>
        <w:t>La valutazione complessiva sarà determinata sommando il voto conseguito nella valutazione dei titoli al voto complessivo riportato nelle prove d'esame, costituito dalla somma dei voti attribuiti nella prova scritta, pratica ed orale.</w:t>
      </w:r>
    </w:p>
    <w:p w:rsidR="0013244B" w:rsidRDefault="0013244B" w:rsidP="0013244B">
      <w:pPr>
        <w:widowControl w:val="0"/>
        <w:tabs>
          <w:tab w:val="left" w:pos="348"/>
        </w:tabs>
        <w:spacing w:after="244" w:line="278" w:lineRule="exact"/>
        <w:jc w:val="both"/>
        <w:rPr>
          <w:rFonts w:ascii="Times New Roman" w:eastAsia="Times New Roman" w:hAnsi="Times New Roman"/>
          <w:color w:val="000000"/>
          <w:sz w:val="24"/>
          <w:szCs w:val="24"/>
          <w:lang w:eastAsia="it-IT"/>
        </w:rPr>
      </w:pPr>
    </w:p>
    <w:p w:rsidR="00274AB0" w:rsidRDefault="00274AB0"/>
    <w:sectPr w:rsidR="00274A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0780"/>
    <w:multiLevelType w:val="multilevel"/>
    <w:tmpl w:val="CBCA8B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FF40074"/>
    <w:multiLevelType w:val="hybridMultilevel"/>
    <w:tmpl w:val="F44EFDD4"/>
    <w:lvl w:ilvl="0" w:tplc="0410000F">
      <w:start w:val="1"/>
      <w:numFmt w:val="decimal"/>
      <w:lvlText w:val="%1."/>
      <w:lvlJc w:val="left"/>
      <w:pPr>
        <w:ind w:left="720" w:hanging="360"/>
      </w:pPr>
      <w:rPr>
        <w:b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46601C3E"/>
    <w:multiLevelType w:val="hybridMultilevel"/>
    <w:tmpl w:val="0900B182"/>
    <w:lvl w:ilvl="0" w:tplc="04100017">
      <w:start w:val="1"/>
      <w:numFmt w:val="lowerLetter"/>
      <w:lvlText w:val="%1)"/>
      <w:lvlJc w:val="left"/>
      <w:pPr>
        <w:ind w:left="927"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4B"/>
    <w:rsid w:val="0013244B"/>
    <w:rsid w:val="00274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4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3244B"/>
    <w:pPr>
      <w:spacing w:after="0" w:line="240" w:lineRule="auto"/>
      <w:ind w:left="720"/>
      <w:jc w:val="both"/>
    </w:pPr>
    <w:rPr>
      <w:rFonts w:ascii="Arial" w:eastAsia="Times New Roman" w:hAnsi="Arial" w:cs="Arial"/>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4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3244B"/>
    <w:pPr>
      <w:spacing w:after="0" w:line="240" w:lineRule="auto"/>
      <w:ind w:left="720"/>
      <w:jc w:val="both"/>
    </w:pPr>
    <w:rPr>
      <w:rFonts w:ascii="Arial" w:eastAsia="Times New Roman" w:hAnsi="Arial"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1611</Words>
  <Characters>9186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Lucente</dc:creator>
  <cp:lastModifiedBy>Lucente</cp:lastModifiedBy>
  <cp:revision>1</cp:revision>
  <cp:lastPrinted>2022-03-02T08:27:00Z</cp:lastPrinted>
  <dcterms:created xsi:type="dcterms:W3CDTF">2022-03-02T08:21:00Z</dcterms:created>
  <dcterms:modified xsi:type="dcterms:W3CDTF">2022-03-02T08:28:00Z</dcterms:modified>
</cp:coreProperties>
</file>