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CD" w:rsidRPr="00BC5767" w:rsidRDefault="00243BCD" w:rsidP="00243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C5767">
        <w:rPr>
          <w:rFonts w:ascii="Times New Roman" w:hAnsi="Times New Roman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6112956" cy="166055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6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F9E" w:rsidRDefault="00FF4F9E" w:rsidP="00FF4F9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n. 14748 del 01/02/2024</w:t>
      </w:r>
    </w:p>
    <w:p w:rsidR="00243BCD" w:rsidRDefault="00FF4F9E" w:rsidP="00FF4F9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3D46D7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545F48" w:rsidRPr="00545F48">
        <w:rPr>
          <w:rFonts w:ascii="Times New Roman" w:hAnsi="Times New Roman" w:cs="Times New Roman"/>
          <w:b/>
          <w:bCs/>
          <w:sz w:val="20"/>
          <w:szCs w:val="20"/>
        </w:rPr>
        <w:t>Concorso pubblico, per titoli ed esami, per l’assunzione</w:t>
      </w:r>
      <w:proofErr w:type="gramStart"/>
      <w:r w:rsidR="00545F48" w:rsidRPr="00545F4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End"/>
      <w:r w:rsidR="00545F48" w:rsidRPr="00545F48">
        <w:rPr>
          <w:rFonts w:ascii="Times New Roman" w:hAnsi="Times New Roman" w:cs="Times New Roman"/>
          <w:b/>
          <w:bCs/>
          <w:sz w:val="20"/>
          <w:szCs w:val="20"/>
        </w:rPr>
        <w:t>a tempo indeterminato di n. 02  Fisioterapista Area dei Professionisti della Salute e dei Funzionari – Professioni Sanitarie della Riabilitazione, Riservato ai Terapisti della Riabilitazione Non Vedenti ai sensi della Legge N. 29 dell’11/1/1994 e della Legge n. 68 del 12/03/1999</w:t>
      </w:r>
      <w:r w:rsidR="00EC486D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it-IT"/>
        </w:rPr>
        <w:t xml:space="preserve"> </w:t>
      </w:r>
      <w:r w:rsidR="00243BCD" w:rsidRPr="00BC576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C06D2" w:rsidRPr="00BC5767">
        <w:rPr>
          <w:rFonts w:ascii="Times New Roman" w:hAnsi="Times New Roman" w:cs="Times New Roman"/>
          <w:b/>
          <w:bCs/>
          <w:sz w:val="20"/>
          <w:szCs w:val="20"/>
        </w:rPr>
        <w:t>Pubblicazione Criteri di valutazione</w:t>
      </w:r>
    </w:p>
    <w:p w:rsidR="00243BCD" w:rsidRPr="00BC5767" w:rsidRDefault="00243BCD" w:rsidP="00243BCD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0"/>
          <w:szCs w:val="20"/>
        </w:rPr>
      </w:pPr>
    </w:p>
    <w:p w:rsidR="00A745A0" w:rsidRDefault="00931C99" w:rsidP="003D4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5767">
        <w:rPr>
          <w:rFonts w:ascii="Times New Roman" w:hAnsi="Times New Roman" w:cs="Times New Roman"/>
          <w:b/>
          <w:bCs/>
          <w:sz w:val="20"/>
          <w:szCs w:val="20"/>
        </w:rPr>
        <w:t>Criteri di Valutazione</w:t>
      </w:r>
      <w:proofErr w:type="gramStart"/>
      <w:r w:rsidRPr="00BC576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End"/>
      <w:r w:rsidRPr="00BC5767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F62C29" w:rsidRPr="00BC5767">
        <w:rPr>
          <w:rFonts w:ascii="Times New Roman" w:hAnsi="Times New Roman" w:cs="Times New Roman"/>
          <w:b/>
          <w:sz w:val="20"/>
          <w:szCs w:val="20"/>
        </w:rPr>
        <w:t>Estratto del Verbale della Commissione esaminatrice</w:t>
      </w:r>
      <w:r w:rsidR="00545F48">
        <w:rPr>
          <w:rFonts w:ascii="Times New Roman" w:hAnsi="Times New Roman" w:cs="Times New Roman"/>
          <w:b/>
          <w:sz w:val="20"/>
          <w:szCs w:val="20"/>
        </w:rPr>
        <w:t xml:space="preserve"> del 30/1/2024</w:t>
      </w:r>
      <w:r w:rsidRPr="00BC5767">
        <w:rPr>
          <w:rFonts w:ascii="Times New Roman" w:hAnsi="Times New Roman" w:cs="Times New Roman"/>
          <w:b/>
          <w:sz w:val="20"/>
          <w:szCs w:val="20"/>
        </w:rPr>
        <w:t>)</w:t>
      </w:r>
      <w:r w:rsidR="00F62C29" w:rsidRPr="00BC576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745A0" w:rsidRDefault="00A745A0" w:rsidP="00545F4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5A0">
        <w:rPr>
          <w:rFonts w:ascii="Times New Roman" w:eastAsia="Calibri" w:hAnsi="Times New Roman" w:cs="Times New Roman"/>
          <w:b/>
          <w:bCs/>
          <w:sz w:val="24"/>
          <w:szCs w:val="24"/>
        </w:rPr>
        <w:t>Criteri di valutazione dei titoli</w:t>
      </w:r>
    </w:p>
    <w:p w:rsidR="00545F48" w:rsidRPr="00A745A0" w:rsidRDefault="00545F48" w:rsidP="00545F4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45A0" w:rsidRPr="00A745A0" w:rsidRDefault="00A745A0" w:rsidP="00A74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gramStart"/>
      <w:r w:rsidRPr="00A745A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(…</w:t>
      </w:r>
      <w:proofErr w:type="gramEnd"/>
      <w:r w:rsidRPr="00A745A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) Si stabiliscono, inoltre, i seguenti criteri specifici di valutazione:</w:t>
      </w:r>
    </w:p>
    <w:p w:rsidR="00A745A0" w:rsidRPr="00A745A0" w:rsidRDefault="00A745A0" w:rsidP="00A745A0">
      <w:pPr>
        <w:numPr>
          <w:ilvl w:val="0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Titoli di carriera</w:t>
      </w:r>
      <w:proofErr w:type="gramStart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fino ad un massimo di  15 punti, così distribuiti:</w:t>
      </w:r>
    </w:p>
    <w:p w:rsidR="00A745A0" w:rsidRPr="00A745A0" w:rsidRDefault="00A745A0" w:rsidP="00A745A0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servizio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di ruolo nella categoria del profilo professionale a concorso o in qualifiche corrispondenti prestato presso Enti del SSN o altre Pubbliche Amministrazioni: punti  1 per anno;</w:t>
      </w:r>
    </w:p>
    <w:p w:rsidR="00A745A0" w:rsidRPr="00A745A0" w:rsidRDefault="00A745A0" w:rsidP="00A745A0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nella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categoria immediatamente inferiore dello stesso profilo o in qualifiche corrispondenti  (non superiore al 50% di quello reso nel profilo): punti 0,50 per anno;</w:t>
      </w:r>
    </w:p>
    <w:p w:rsidR="00A745A0" w:rsidRPr="00A745A0" w:rsidRDefault="00A745A0" w:rsidP="00A745A0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servizio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prestato presso case di cura convenzionate o accreditate per il 25% della sua durata con rapporto continuativo: punti 1 per anno;</w:t>
      </w:r>
    </w:p>
    <w:p w:rsidR="00A745A0" w:rsidRPr="00A745A0" w:rsidRDefault="00A745A0" w:rsidP="00A745A0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servizi a tempo parziale sono valutati proporzionalmente all’orario di lavoro a tempo pieno;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Per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la valutazione dei servizi e titoli equiparabili saranno applicati gli artt. 20-21-22 del DPR 220/2001.</w:t>
      </w:r>
    </w:p>
    <w:p w:rsidR="00A745A0" w:rsidRPr="00A745A0" w:rsidRDefault="00A745A0" w:rsidP="00A745A0">
      <w:pPr>
        <w:numPr>
          <w:ilvl w:val="0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Titoli accademici e di studio fino </w:t>
      </w:r>
      <w:proofErr w:type="gramStart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ad</w:t>
      </w:r>
      <w:proofErr w:type="gramEnd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un massimo di 5 punti:</w:t>
      </w:r>
    </w:p>
    <w:p w:rsidR="00A745A0" w:rsidRPr="00A745A0" w:rsidRDefault="00A745A0" w:rsidP="00A745A0">
      <w:pPr>
        <w:widowControl w:val="0"/>
        <w:numPr>
          <w:ilvl w:val="0"/>
          <w:numId w:val="29"/>
        </w:numPr>
        <w:tabs>
          <w:tab w:val="left" w:pos="36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</w:pPr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Non si attribuisce punteggio al diploma di Laurea richiesto per l'accesso al concorso;</w:t>
      </w:r>
    </w:p>
    <w:p w:rsidR="00A745A0" w:rsidRPr="00A745A0" w:rsidRDefault="00A745A0" w:rsidP="00A745A0">
      <w:pPr>
        <w:widowControl w:val="0"/>
        <w:numPr>
          <w:ilvl w:val="0"/>
          <w:numId w:val="29"/>
        </w:numPr>
        <w:tabs>
          <w:tab w:val="left" w:pos="36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</w:pPr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 xml:space="preserve">Il punteggio attribuibile ad altri titoli di studio sarà valutato in base alle seguenti </w:t>
      </w:r>
      <w:proofErr w:type="gramStart"/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modalità</w:t>
      </w:r>
      <w:proofErr w:type="gramEnd"/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:</w:t>
      </w:r>
    </w:p>
    <w:p w:rsidR="00A745A0" w:rsidRPr="00A745A0" w:rsidRDefault="00A745A0" w:rsidP="00A745A0">
      <w:pPr>
        <w:widowControl w:val="0"/>
        <w:numPr>
          <w:ilvl w:val="0"/>
          <w:numId w:val="30"/>
        </w:numPr>
        <w:tabs>
          <w:tab w:val="left" w:pos="36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</w:pPr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Dottorato di ricerca punti</w:t>
      </w:r>
      <w:proofErr w:type="gramStart"/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 xml:space="preserve">  </w:t>
      </w:r>
      <w:proofErr w:type="gramEnd"/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0.75;</w:t>
      </w:r>
    </w:p>
    <w:p w:rsidR="00A745A0" w:rsidRPr="00A745A0" w:rsidRDefault="00A745A0" w:rsidP="00A745A0">
      <w:pPr>
        <w:widowControl w:val="0"/>
        <w:numPr>
          <w:ilvl w:val="0"/>
          <w:numId w:val="30"/>
        </w:numPr>
        <w:tabs>
          <w:tab w:val="left" w:pos="36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</w:pPr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Master Universitario 2° livello punti 0.50;</w:t>
      </w:r>
    </w:p>
    <w:p w:rsidR="00A745A0" w:rsidRPr="00A745A0" w:rsidRDefault="00A745A0" w:rsidP="00A745A0">
      <w:pPr>
        <w:widowControl w:val="0"/>
        <w:numPr>
          <w:ilvl w:val="0"/>
          <w:numId w:val="30"/>
        </w:numPr>
        <w:tabs>
          <w:tab w:val="left" w:pos="36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</w:pPr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Master Universitario 1° livello punti 0.30;</w:t>
      </w:r>
    </w:p>
    <w:p w:rsidR="00A745A0" w:rsidRPr="00A745A0" w:rsidRDefault="00A745A0" w:rsidP="00A745A0">
      <w:pPr>
        <w:widowControl w:val="0"/>
        <w:numPr>
          <w:ilvl w:val="0"/>
          <w:numId w:val="30"/>
        </w:numPr>
        <w:tabs>
          <w:tab w:val="left" w:pos="36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</w:pPr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 xml:space="preserve"> Specializzazione in materie attinenti al posto da coprire:</w:t>
      </w:r>
      <w:proofErr w:type="gramStart"/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 xml:space="preserve">  </w:t>
      </w:r>
      <w:proofErr w:type="gramEnd"/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1 punto per ogni attestato fino ad un massimo di 3 punti; Specializzazione in disciplina affine punti 0.50 fino a un massimo di 1 punto;</w:t>
      </w:r>
    </w:p>
    <w:p w:rsidR="00A745A0" w:rsidRPr="00A745A0" w:rsidRDefault="00766926" w:rsidP="00A745A0">
      <w:pPr>
        <w:widowControl w:val="0"/>
        <w:numPr>
          <w:ilvl w:val="0"/>
          <w:numId w:val="30"/>
        </w:numPr>
        <w:tabs>
          <w:tab w:val="left" w:pos="74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A</w:t>
      </w:r>
      <w:r w:rsidR="00A745A0"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 xml:space="preserve">ltra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 xml:space="preserve">Laurea </w:t>
      </w:r>
      <w:r w:rsidR="00A745A0"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 xml:space="preserve">attinente punti </w:t>
      </w:r>
      <w:proofErr w:type="gramStart"/>
      <w:r w:rsidR="00A745A0"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1</w:t>
      </w:r>
      <w:proofErr w:type="gramEnd"/>
    </w:p>
    <w:p w:rsidR="00A745A0" w:rsidRPr="00A745A0" w:rsidRDefault="00A745A0" w:rsidP="00A745A0">
      <w:pPr>
        <w:widowControl w:val="0"/>
        <w:numPr>
          <w:ilvl w:val="0"/>
          <w:numId w:val="30"/>
        </w:numPr>
        <w:tabs>
          <w:tab w:val="left" w:pos="74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it-IT" w:bidi="it-IT"/>
        </w:rPr>
        <w:t>Altra Laurea non attinente punti 0,50</w:t>
      </w:r>
    </w:p>
    <w:p w:rsidR="00A745A0" w:rsidRPr="00A745A0" w:rsidRDefault="00A745A0" w:rsidP="00545F48">
      <w:pPr>
        <w:widowControl w:val="0"/>
        <w:tabs>
          <w:tab w:val="left" w:pos="74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Il punteggio è attribuito dalla commissione con motivata valutazione, tenuto conto dell’attinenza dei titoli posseduti con il profilo professionale da 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conferire</w:t>
      </w:r>
      <w:proofErr w:type="gramEnd"/>
    </w:p>
    <w:p w:rsidR="00A745A0" w:rsidRPr="00A745A0" w:rsidRDefault="00A745A0" w:rsidP="00A745A0">
      <w:pPr>
        <w:numPr>
          <w:ilvl w:val="0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Pubblicazioni e titoli scientifici fino </w:t>
      </w:r>
      <w:proofErr w:type="gramStart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ad</w:t>
      </w:r>
      <w:proofErr w:type="gramEnd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un massimo di 4 punti:</w:t>
      </w:r>
    </w:p>
    <w:p w:rsidR="00A745A0" w:rsidRPr="00A745A0" w:rsidRDefault="00A745A0" w:rsidP="00A745A0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Le pubblicazioni saranno valutate con giudizio motivato della Commissione, tenuto conto:</w:t>
      </w:r>
    </w:p>
    <w:p w:rsidR="00A745A0" w:rsidRPr="00A745A0" w:rsidRDefault="00A745A0" w:rsidP="00A745A0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Del contenuto</w:t>
      </w:r>
    </w:p>
    <w:p w:rsidR="00A745A0" w:rsidRPr="00A745A0" w:rsidRDefault="00A745A0" w:rsidP="00A745A0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Del numero degli autori</w:t>
      </w:r>
    </w:p>
    <w:p w:rsidR="00A745A0" w:rsidRPr="00A745A0" w:rsidRDefault="00A745A0" w:rsidP="00A745A0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Della rivista di pubblicazione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In particolare</w:t>
      </w:r>
    </w:p>
    <w:p w:rsidR="00A745A0" w:rsidRPr="00A745A0" w:rsidRDefault="00A745A0" w:rsidP="00A745A0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Pubblicazione attinente su rivista primo autore punti 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</w:t>
      </w:r>
      <w:proofErr w:type="gramEnd"/>
    </w:p>
    <w:p w:rsidR="00A745A0" w:rsidRPr="00545F48" w:rsidRDefault="00A745A0" w:rsidP="00545F48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Pubblicazione attinente su rivista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coautore punti 0,50</w:t>
      </w:r>
    </w:p>
    <w:p w:rsidR="00A745A0" w:rsidRPr="00A745A0" w:rsidRDefault="00A745A0" w:rsidP="00A745A0">
      <w:pPr>
        <w:numPr>
          <w:ilvl w:val="0"/>
          <w:numId w:val="2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Curriculum fino </w:t>
      </w:r>
      <w:proofErr w:type="gramStart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ad</w:t>
      </w:r>
      <w:proofErr w:type="gramEnd"/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un massimo di 6 punti 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a)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corsi/convegni/seminari attinenti al profilo:</w:t>
      </w:r>
    </w:p>
    <w:p w:rsidR="00A745A0" w:rsidRPr="00A745A0" w:rsidRDefault="00A745A0" w:rsidP="00A745A0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di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alta formazione Universitari punti 0.20;</w:t>
      </w:r>
    </w:p>
    <w:p w:rsidR="00A745A0" w:rsidRPr="00A745A0" w:rsidRDefault="00A745A0" w:rsidP="00A745A0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di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alta formazione Enti riconosciuti MIUR punti 0.10;</w:t>
      </w:r>
    </w:p>
    <w:p w:rsidR="00A745A0" w:rsidRPr="00A745A0" w:rsidRDefault="00A745A0" w:rsidP="00A745A0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stage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qualificanti fino a mesi 6 punti 0.05, superiore a mesi sei punti 0.10; </w:t>
      </w:r>
    </w:p>
    <w:p w:rsidR="00A745A0" w:rsidRPr="00A745A0" w:rsidRDefault="00A745A0" w:rsidP="00A745A0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ECM da 0 – 20 punti 0.02; 20 – 50 punti 0.04; &gt; 50 punti 0.06;</w:t>
      </w:r>
      <w:proofErr w:type="gramEnd"/>
    </w:p>
    <w:p w:rsidR="00A745A0" w:rsidRPr="00A745A0" w:rsidRDefault="00A745A0" w:rsidP="00A745A0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Altri corsi non ECM punti 0,01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b)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partecipazione a corsi/convegni/seminari in qualità di relatore: punti 0,02 ad evento;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d)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Progetto di ricerca Universitari enti pubblici fino a 6 mesi punti 0.05; &gt; mesi 6 punti 0.10.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e)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Docenza in corsi universitari fino a 30h (oppure 1 mese) punti 0.04; da 31 a 100h (oppure sei mesi) punti 0.10; da 101 a 400h (oppure 1 anno) punti 0.20; oltre 400h (1 anno) punti 0.30;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f)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altri titoli attinenti non valutati nelle precedenti categorie da motivare fino a un max. di punti 0.05;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g) Dottorato di ricerca punti 0.75.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h) Servizio a tempo determinato o indeterminato nel profilo in altre strutture non ricomprese nel punto A: 0,017 per mese o frazione di 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mese</w:t>
      </w:r>
      <w:proofErr w:type="gramEnd"/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i) Servizio svolto con contratto di lavoro </w:t>
      </w:r>
      <w:proofErr w:type="spell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CoCoCo</w:t>
      </w:r>
      <w:proofErr w:type="spell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o libero 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professionale punti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0,01 per mese o frazione di mese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Il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punteggio attribuito dalla commissione è globale ma deve essere adeguatamente motivato con riguardo ai singoli elementi documentali che hanno contribuito a determinarlo. La motivazione sarà riportata nel verbale dei lavori della commissione. 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(.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..)</w:t>
      </w:r>
    </w:p>
    <w:p w:rsidR="00A745A0" w:rsidRPr="00A745A0" w:rsidRDefault="00A745A0" w:rsidP="00A74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valutazione d</w:t>
      </w:r>
      <w:r w:rsidR="00545F4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ei titoli riguarderà solamente se l’unico candidato parteciperà</w:t>
      </w:r>
      <w:proofErr w:type="gramStart"/>
      <w:r w:rsidR="00545F4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gramEnd"/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alla prova scritta, in ottemperanza a quanto previsto dall’art. 8 del D.P.R. 27 marzo 2001, n. 220 e a</w:t>
      </w:r>
      <w:r w:rsidR="00545F4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vverrà dopo lo svolgimento della prova scritta</w:t>
      </w:r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prima che si proceda alla correzione dei relativi elaborati.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Prove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(…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 Il superamento della prova scritta è subordinato al raggiungimento di una valutazione di sufficienza espressa in termini numerici di almeno 21/30.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Il superamento delle prove pratica e orale è subordinato al raggiungimento di una valutazione di sufficienza espressa in termini numerici di almeno 14/20 (…)</w:t>
      </w:r>
    </w:p>
    <w:p w:rsidR="00A745A0" w:rsidRPr="00A745A0" w:rsidRDefault="00A745A0" w:rsidP="00A745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Criteri di valutazione prove scritta,</w:t>
      </w:r>
      <w:proofErr w:type="gramStart"/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proofErr w:type="gramEnd"/>
      <w:r w:rsidRPr="00A74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pratica e  orale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(…</w:t>
      </w:r>
      <w:proofErr w:type="gramEnd"/>
      <w:r w:rsidRPr="00A745A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)</w:t>
      </w:r>
      <w:r w:rsidRPr="00A745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La </w:t>
      </w:r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prova scritta</w:t>
      </w: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sarà valutata, per un massimale complessivo di 30 punti, sulla base dei criteri di seguito riportati: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-correttezza 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-completezza 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-chiarezza espositiva 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-contenuto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proofErr w:type="gramEnd"/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(…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 La </w:t>
      </w:r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prova pratica</w:t>
      </w: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sarà valutata, per un massimale complessivo di 20 punti, sulla base dei criteri di seguito riportati: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-appropriatezza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-capacità di sintesi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-capacità di esecuzione 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(…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 </w:t>
      </w: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</w:t>
      </w:r>
      <w:r w:rsidRPr="00A745A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prova orale</w:t>
      </w: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sarà valutata, per un massimale complessivo di 20 punti, sulla base dei criteri di seguito riportati: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correttezza </w:t>
      </w:r>
    </w:p>
    <w:p w:rsidR="00A745A0" w:rsidRPr="00A745A0" w:rsidRDefault="00A745A0" w:rsidP="00A745A0">
      <w:pPr>
        <w:widowControl w:val="0"/>
        <w:tabs>
          <w:tab w:val="left" w:pos="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completezza </w:t>
      </w:r>
    </w:p>
    <w:p w:rsidR="00A745A0" w:rsidRPr="00A745A0" w:rsidRDefault="00A745A0" w:rsidP="00A745A0">
      <w:pPr>
        <w:widowControl w:val="0"/>
        <w:tabs>
          <w:tab w:val="left" w:pos="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chiarezza espositiva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    </w:t>
      </w:r>
      <w:proofErr w:type="gramEnd"/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La prova orale sarà svolta in sala aperta al 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pubblico</w:t>
      </w:r>
      <w:proofErr w:type="gramEnd"/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Non è ammesso in graduatoria il candidato che non supera tutte le prove.</w:t>
      </w:r>
    </w:p>
    <w:p w:rsidR="00A745A0" w:rsidRPr="00A745A0" w:rsidRDefault="00A745A0" w:rsidP="00A745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La valutazione complessiva sarà determinata sommando il voto conseguito nella valutazione dei titoli al voto complessivo riportato nelle prove d'esame, costituito dalla somma dei voti attribuiti nella prova scritta, pratica </w:t>
      </w:r>
      <w:proofErr w:type="gramStart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ed</w:t>
      </w:r>
      <w:proofErr w:type="gramEnd"/>
      <w:r w:rsidRPr="00A745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orale (…)</w:t>
      </w:r>
    </w:p>
    <w:p w:rsidR="00A745A0" w:rsidRDefault="00A745A0" w:rsidP="00A74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Il Presidente</w:t>
      </w:r>
    </w:p>
    <w:p w:rsidR="00D359F9" w:rsidRPr="00861CEF" w:rsidRDefault="00A745A0" w:rsidP="00FF4F9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F.to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Dott.ssa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Lorella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Massenzo</w:t>
      </w:r>
      <w:bookmarkStart w:id="0" w:name="_GoBack"/>
      <w:bookmarkEnd w:id="0"/>
      <w:proofErr w:type="spellEnd"/>
    </w:p>
    <w:sectPr w:rsidR="00D359F9" w:rsidRPr="00861CEF" w:rsidSect="00243BC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A0017B8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>
    <w:nsid w:val="00000005"/>
    <w:multiLevelType w:val="multilevel"/>
    <w:tmpl w:val="4FB2C17A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it-IT" w:eastAsia="it-IT" w:bidi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6"/>
    <w:multiLevelType w:val="singleLevel"/>
    <w:tmpl w:val="00000006"/>
    <w:name w:val="WW8Num10"/>
    <w:lvl w:ilvl="0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sz w:val="24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7A03810"/>
    <w:multiLevelType w:val="hybridMultilevel"/>
    <w:tmpl w:val="F0627E9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5509D8"/>
    <w:multiLevelType w:val="hybridMultilevel"/>
    <w:tmpl w:val="940641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60FD7"/>
    <w:multiLevelType w:val="hybridMultilevel"/>
    <w:tmpl w:val="D9A2DE86"/>
    <w:lvl w:ilvl="0" w:tplc="00000006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C27C3"/>
    <w:multiLevelType w:val="hybridMultilevel"/>
    <w:tmpl w:val="D090DD34"/>
    <w:lvl w:ilvl="0" w:tplc="AC0490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6E3F"/>
    <w:multiLevelType w:val="hybridMultilevel"/>
    <w:tmpl w:val="C25824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B5860"/>
    <w:multiLevelType w:val="hybridMultilevel"/>
    <w:tmpl w:val="D43458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53846"/>
    <w:multiLevelType w:val="hybridMultilevel"/>
    <w:tmpl w:val="41C8E12A"/>
    <w:lvl w:ilvl="0" w:tplc="AD4019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30097"/>
    <w:multiLevelType w:val="hybridMultilevel"/>
    <w:tmpl w:val="A1FA7684"/>
    <w:lvl w:ilvl="0" w:tplc="8AF8C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933D0"/>
    <w:multiLevelType w:val="hybridMultilevel"/>
    <w:tmpl w:val="582886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E04EA"/>
    <w:multiLevelType w:val="hybridMultilevel"/>
    <w:tmpl w:val="613495D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7820914"/>
    <w:multiLevelType w:val="hybridMultilevel"/>
    <w:tmpl w:val="E390A1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342EE"/>
    <w:multiLevelType w:val="hybridMultilevel"/>
    <w:tmpl w:val="A4665BBA"/>
    <w:lvl w:ilvl="0" w:tplc="DE9C9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4F3"/>
    <w:multiLevelType w:val="hybridMultilevel"/>
    <w:tmpl w:val="302ECA2C"/>
    <w:lvl w:ilvl="0" w:tplc="97AE963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B647BFE"/>
    <w:multiLevelType w:val="hybridMultilevel"/>
    <w:tmpl w:val="03B6D4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275155"/>
    <w:multiLevelType w:val="hybridMultilevel"/>
    <w:tmpl w:val="D220A56C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47D0463"/>
    <w:multiLevelType w:val="hybridMultilevel"/>
    <w:tmpl w:val="F38600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B5EA9"/>
    <w:multiLevelType w:val="hybridMultilevel"/>
    <w:tmpl w:val="EE4C8FDA"/>
    <w:lvl w:ilvl="0" w:tplc="49F6CD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926C6"/>
    <w:multiLevelType w:val="hybridMultilevel"/>
    <w:tmpl w:val="8E584418"/>
    <w:lvl w:ilvl="0" w:tplc="AD4019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604A4"/>
    <w:multiLevelType w:val="hybridMultilevel"/>
    <w:tmpl w:val="2B1E8A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66811"/>
    <w:multiLevelType w:val="hybridMultilevel"/>
    <w:tmpl w:val="352A13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86D55"/>
    <w:multiLevelType w:val="hybridMultilevel"/>
    <w:tmpl w:val="0D56F746"/>
    <w:lvl w:ilvl="0" w:tplc="E500CA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B394D"/>
    <w:multiLevelType w:val="hybridMultilevel"/>
    <w:tmpl w:val="FBB61D28"/>
    <w:lvl w:ilvl="0" w:tplc="00000006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23"/>
  </w:num>
  <w:num w:numId="8">
    <w:abstractNumId w:val="20"/>
  </w:num>
  <w:num w:numId="9">
    <w:abstractNumId w:val="9"/>
  </w:num>
  <w:num w:numId="10">
    <w:abstractNumId w:val="22"/>
  </w:num>
  <w:num w:numId="11">
    <w:abstractNumId w:val="8"/>
  </w:num>
  <w:num w:numId="12">
    <w:abstractNumId w:val="24"/>
  </w:num>
  <w:num w:numId="13">
    <w:abstractNumId w:val="25"/>
  </w:num>
  <w:num w:numId="14">
    <w:abstractNumId w:val="6"/>
  </w:num>
  <w:num w:numId="15">
    <w:abstractNumId w:val="21"/>
  </w:num>
  <w:num w:numId="16">
    <w:abstractNumId w:val="12"/>
  </w:num>
  <w:num w:numId="17">
    <w:abstractNumId w:val="14"/>
  </w:num>
  <w:num w:numId="18">
    <w:abstractNumId w:val="5"/>
  </w:num>
  <w:num w:numId="19">
    <w:abstractNumId w:val="7"/>
  </w:num>
  <w:num w:numId="20">
    <w:abstractNumId w:val="10"/>
  </w:num>
  <w:num w:numId="21">
    <w:abstractNumId w:val="17"/>
  </w:num>
  <w:num w:numId="22">
    <w:abstractNumId w:val="4"/>
  </w:num>
  <w:num w:numId="23">
    <w:abstractNumId w:val="13"/>
  </w:num>
  <w:num w:numId="24">
    <w:abstractNumId w:val="18"/>
  </w:num>
  <w:num w:numId="25">
    <w:abstractNumId w:val="16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CD"/>
    <w:rsid w:val="0002148E"/>
    <w:rsid w:val="000E7E25"/>
    <w:rsid w:val="00243BCD"/>
    <w:rsid w:val="002E075E"/>
    <w:rsid w:val="003952F7"/>
    <w:rsid w:val="003D46D7"/>
    <w:rsid w:val="0047078A"/>
    <w:rsid w:val="004762C4"/>
    <w:rsid w:val="00545F48"/>
    <w:rsid w:val="005C06D2"/>
    <w:rsid w:val="005C13E3"/>
    <w:rsid w:val="005E45BD"/>
    <w:rsid w:val="006102AF"/>
    <w:rsid w:val="00766926"/>
    <w:rsid w:val="00784B2D"/>
    <w:rsid w:val="007B3A9C"/>
    <w:rsid w:val="007C18BB"/>
    <w:rsid w:val="007E6260"/>
    <w:rsid w:val="00861CEF"/>
    <w:rsid w:val="008A1AF6"/>
    <w:rsid w:val="008C1BF3"/>
    <w:rsid w:val="009236A7"/>
    <w:rsid w:val="00931C99"/>
    <w:rsid w:val="00951EE7"/>
    <w:rsid w:val="00980FC4"/>
    <w:rsid w:val="009A4B98"/>
    <w:rsid w:val="009B3B65"/>
    <w:rsid w:val="00A61473"/>
    <w:rsid w:val="00A745A0"/>
    <w:rsid w:val="00A76A64"/>
    <w:rsid w:val="00A91DC1"/>
    <w:rsid w:val="00AB3715"/>
    <w:rsid w:val="00AF7B5C"/>
    <w:rsid w:val="00B12D4E"/>
    <w:rsid w:val="00B43BCD"/>
    <w:rsid w:val="00BA67DD"/>
    <w:rsid w:val="00BC5767"/>
    <w:rsid w:val="00BC6A6A"/>
    <w:rsid w:val="00CB3658"/>
    <w:rsid w:val="00CD133B"/>
    <w:rsid w:val="00D359F9"/>
    <w:rsid w:val="00E51B89"/>
    <w:rsid w:val="00EC486D"/>
    <w:rsid w:val="00F11833"/>
    <w:rsid w:val="00F25B62"/>
    <w:rsid w:val="00F62C29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B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B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Fiorito</dc:creator>
  <cp:lastModifiedBy>Settimo Buccafusco</cp:lastModifiedBy>
  <cp:revision>4</cp:revision>
  <cp:lastPrinted>2022-09-16T10:08:00Z</cp:lastPrinted>
  <dcterms:created xsi:type="dcterms:W3CDTF">2024-01-29T10:34:00Z</dcterms:created>
  <dcterms:modified xsi:type="dcterms:W3CDTF">2024-02-02T09:27:00Z</dcterms:modified>
</cp:coreProperties>
</file>