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36" w:type="pct"/>
        <w:tblLayout w:type="fixed"/>
        <w:tblLook w:val="04A0" w:firstRow="1" w:lastRow="0" w:firstColumn="1" w:lastColumn="0" w:noHBand="0" w:noVBand="1"/>
      </w:tblPr>
      <w:tblGrid>
        <w:gridCol w:w="9391"/>
        <w:gridCol w:w="273"/>
        <w:gridCol w:w="236"/>
      </w:tblGrid>
      <w:tr w:rsidR="008157A7" w14:paraId="40D5956E" w14:textId="77777777" w:rsidTr="00EA67C2">
        <w:trPr>
          <w:trHeight w:val="1828"/>
        </w:trPr>
        <w:tc>
          <w:tcPr>
            <w:tcW w:w="4744" w:type="pct"/>
          </w:tcPr>
          <w:p w14:paraId="001BF840" w14:textId="77777777" w:rsidR="008157A7" w:rsidRPr="009A1702" w:rsidRDefault="008157A7" w:rsidP="00EA67C2">
            <w:pPr>
              <w:jc w:val="center"/>
              <w:rPr>
                <w:b/>
              </w:rPr>
            </w:pPr>
            <w:r>
              <w:rPr>
                <w:b/>
                <w:noProof/>
              </w:rPr>
              <w:drawing>
                <wp:inline distT="0" distB="0" distL="0" distR="0" wp14:anchorId="7E8EF42D" wp14:editId="4D3A57C3">
                  <wp:extent cx="6181725" cy="1724025"/>
                  <wp:effectExtent l="19050" t="0" r="9525"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cstate="print"/>
                          <a:srcRect/>
                          <a:stretch>
                            <a:fillRect/>
                          </a:stretch>
                        </pic:blipFill>
                        <pic:spPr bwMode="auto">
                          <a:xfrm>
                            <a:off x="0" y="0"/>
                            <a:ext cx="6181725" cy="1724025"/>
                          </a:xfrm>
                          <a:prstGeom prst="rect">
                            <a:avLst/>
                          </a:prstGeom>
                          <a:noFill/>
                          <a:ln w="9525">
                            <a:noFill/>
                            <a:miter lim="800000"/>
                            <a:headEnd/>
                            <a:tailEnd/>
                          </a:ln>
                        </pic:spPr>
                      </pic:pic>
                    </a:graphicData>
                  </a:graphic>
                </wp:inline>
              </w:drawing>
            </w:r>
          </w:p>
        </w:tc>
        <w:tc>
          <w:tcPr>
            <w:tcW w:w="139" w:type="pct"/>
          </w:tcPr>
          <w:p w14:paraId="4C0F50D1" w14:textId="77777777" w:rsidR="008157A7" w:rsidRPr="009A1702" w:rsidRDefault="008157A7" w:rsidP="00EA67C2">
            <w:pPr>
              <w:rPr>
                <w:rFonts w:ascii="Book Antiqua" w:hAnsi="Book Antiqua"/>
                <w:b/>
              </w:rPr>
            </w:pPr>
          </w:p>
        </w:tc>
        <w:tc>
          <w:tcPr>
            <w:tcW w:w="117" w:type="pct"/>
          </w:tcPr>
          <w:p w14:paraId="029C4A28" w14:textId="77777777" w:rsidR="008157A7" w:rsidRPr="009A1702" w:rsidRDefault="008157A7" w:rsidP="00EA67C2">
            <w:pPr>
              <w:tabs>
                <w:tab w:val="left" w:pos="6240"/>
              </w:tabs>
            </w:pPr>
          </w:p>
        </w:tc>
      </w:tr>
    </w:tbl>
    <w:p w14:paraId="5CD27FF1" w14:textId="77777777" w:rsidR="00E671FE" w:rsidRDefault="003E314C" w:rsidP="00897F67">
      <w:pPr>
        <w:rPr>
          <w:b/>
          <w:i/>
        </w:rPr>
      </w:pPr>
      <w:r>
        <w:rPr>
          <w:rFonts w:ascii="Verdana" w:hAnsi="Verdana"/>
          <w:b/>
          <w:i/>
        </w:rPr>
        <w:t>Direzione Generale</w:t>
      </w:r>
    </w:p>
    <w:p w14:paraId="7651289E" w14:textId="7CFD3AE1" w:rsidR="005C3F20" w:rsidRPr="00CE6BDA" w:rsidRDefault="004E0F4F" w:rsidP="005C3F20">
      <w:pPr>
        <w:rPr>
          <w:rFonts w:ascii="Book Antiqua" w:hAnsi="Book Antiqua"/>
          <w:b/>
          <w:sz w:val="20"/>
          <w:szCs w:val="20"/>
        </w:rPr>
      </w:pPr>
      <w:proofErr w:type="spellStart"/>
      <w:r>
        <w:rPr>
          <w:rFonts w:ascii="Book Antiqua" w:hAnsi="Book Antiqua"/>
          <w:b/>
          <w:sz w:val="20"/>
          <w:szCs w:val="20"/>
        </w:rPr>
        <w:t>Prot</w:t>
      </w:r>
      <w:proofErr w:type="spellEnd"/>
      <w:r>
        <w:rPr>
          <w:rFonts w:ascii="Book Antiqua" w:hAnsi="Book Antiqua"/>
          <w:b/>
          <w:sz w:val="20"/>
          <w:szCs w:val="20"/>
        </w:rPr>
        <w:t>. 15822 del 31/01/2025</w:t>
      </w:r>
    </w:p>
    <w:p w14:paraId="426DB061" w14:textId="750BD895" w:rsidR="005C3F20" w:rsidRDefault="005C3F20" w:rsidP="005C3F20">
      <w:pPr>
        <w:ind w:left="3540" w:firstLine="708"/>
        <w:rPr>
          <w:rFonts w:ascii="Book Antiqua" w:hAnsi="Book Antiqua"/>
          <w:b/>
          <w:sz w:val="28"/>
          <w:szCs w:val="28"/>
        </w:rPr>
      </w:pPr>
      <w:r w:rsidRPr="002773C7">
        <w:rPr>
          <w:rFonts w:ascii="Book Antiqua" w:hAnsi="Book Antiqua"/>
          <w:b/>
          <w:sz w:val="28"/>
          <w:szCs w:val="28"/>
        </w:rPr>
        <w:t>AVVISO</w:t>
      </w:r>
    </w:p>
    <w:p w14:paraId="095AA22A" w14:textId="0D63B4B6" w:rsidR="00022303" w:rsidRDefault="00022303" w:rsidP="003D66C6">
      <w:pPr>
        <w:jc w:val="right"/>
        <w:rPr>
          <w:rFonts w:ascii="Book Antiqua" w:hAnsi="Book Antiqua"/>
          <w:b/>
          <w:sz w:val="28"/>
          <w:szCs w:val="28"/>
        </w:rPr>
      </w:pPr>
      <w:r>
        <w:rPr>
          <w:rFonts w:ascii="Book Antiqua" w:hAnsi="Book Antiqua"/>
          <w:b/>
          <w:sz w:val="28"/>
          <w:szCs w:val="28"/>
        </w:rPr>
        <w:t xml:space="preserve"> </w:t>
      </w:r>
      <w:r w:rsidR="00E3312A" w:rsidRPr="002773C7">
        <w:rPr>
          <w:rFonts w:ascii="Book Antiqua" w:hAnsi="Book Antiqua"/>
          <w:b/>
          <w:sz w:val="28"/>
          <w:szCs w:val="28"/>
        </w:rPr>
        <w:t xml:space="preserve">A </w:t>
      </w:r>
      <w:r w:rsidR="003D66C6">
        <w:rPr>
          <w:rFonts w:ascii="Book Antiqua" w:hAnsi="Book Antiqua"/>
          <w:b/>
          <w:sz w:val="28"/>
          <w:szCs w:val="28"/>
        </w:rPr>
        <w:t>TUTTO IL PERSONALE DIPENDENTE</w:t>
      </w:r>
    </w:p>
    <w:p w14:paraId="4DBD1BCA" w14:textId="42FA0A23" w:rsidR="003D66C6" w:rsidRDefault="00022303" w:rsidP="00022303">
      <w:pPr>
        <w:ind w:firstLine="708"/>
        <w:jc w:val="center"/>
        <w:rPr>
          <w:rFonts w:ascii="Book Antiqua" w:hAnsi="Book Antiqua"/>
          <w:b/>
          <w:sz w:val="28"/>
          <w:szCs w:val="28"/>
        </w:rPr>
      </w:pPr>
      <w:r>
        <w:rPr>
          <w:rFonts w:ascii="Book Antiqua" w:hAnsi="Book Antiqua"/>
          <w:b/>
          <w:sz w:val="28"/>
          <w:szCs w:val="28"/>
        </w:rPr>
        <w:t xml:space="preserve">  </w:t>
      </w:r>
      <w:proofErr w:type="gramStart"/>
      <w:r>
        <w:rPr>
          <w:rFonts w:ascii="Book Antiqua" w:hAnsi="Book Antiqua"/>
          <w:b/>
          <w:sz w:val="28"/>
          <w:szCs w:val="28"/>
        </w:rPr>
        <w:t>E</w:t>
      </w:r>
      <w:proofErr w:type="gramEnd"/>
      <w:r>
        <w:rPr>
          <w:rFonts w:ascii="Book Antiqua" w:hAnsi="Book Antiqua"/>
          <w:b/>
          <w:sz w:val="28"/>
          <w:szCs w:val="28"/>
        </w:rPr>
        <w:t xml:space="preserve"> AUTONOMO</w:t>
      </w:r>
    </w:p>
    <w:p w14:paraId="3B6BA5CF" w14:textId="77777777" w:rsidR="00022303" w:rsidRDefault="00022303" w:rsidP="003D66C6">
      <w:pPr>
        <w:jc w:val="right"/>
        <w:rPr>
          <w:rFonts w:ascii="Book Antiqua" w:hAnsi="Book Antiqua"/>
          <w:b/>
          <w:sz w:val="28"/>
          <w:szCs w:val="28"/>
        </w:rPr>
      </w:pPr>
    </w:p>
    <w:p w14:paraId="6ADFEAC6" w14:textId="77777777" w:rsidR="006A5AFA" w:rsidRPr="008C53F9" w:rsidRDefault="006A5AFA" w:rsidP="00403E9E">
      <w:pPr>
        <w:jc w:val="right"/>
        <w:rPr>
          <w:rFonts w:ascii="Book Antiqua" w:hAnsi="Book Antiqua"/>
          <w:b/>
          <w:sz w:val="16"/>
          <w:szCs w:val="16"/>
        </w:rPr>
      </w:pPr>
    </w:p>
    <w:p w14:paraId="4658D220" w14:textId="575DBC2B" w:rsidR="0010388F" w:rsidRDefault="0010388F" w:rsidP="0010388F">
      <w:pPr>
        <w:jc w:val="both"/>
        <w:rPr>
          <w:rFonts w:ascii="Work Sans" w:hAnsi="Work Sans"/>
          <w:color w:val="000000"/>
          <w:shd w:val="clear" w:color="auto" w:fill="FFFFFF"/>
        </w:rPr>
      </w:pPr>
      <w:r>
        <w:rPr>
          <w:rFonts w:ascii="Work Sans" w:hAnsi="Work Sans"/>
          <w:color w:val="000000"/>
          <w:shd w:val="clear" w:color="auto" w:fill="FFFFFF"/>
        </w:rPr>
        <w:t>Con il presente Avviso si forniscono notizie utili circa le modifiche introdotte dalla Legge d</w:t>
      </w:r>
      <w:r w:rsidR="00CE6BDA">
        <w:rPr>
          <w:rFonts w:ascii="Work Sans" w:hAnsi="Work Sans"/>
          <w:color w:val="000000"/>
          <w:shd w:val="clear" w:color="auto" w:fill="FFFFFF"/>
        </w:rPr>
        <w:t xml:space="preserve">i Bilancio 2025 in merito alle </w:t>
      </w:r>
      <w:r w:rsidR="00CE6BDA" w:rsidRPr="00022303">
        <w:rPr>
          <w:rFonts w:ascii="Work Sans" w:hAnsi="Work Sans"/>
          <w:b/>
          <w:color w:val="000000"/>
          <w:shd w:val="clear" w:color="auto" w:fill="FFFFFF"/>
        </w:rPr>
        <w:t>S</w:t>
      </w:r>
      <w:r w:rsidRPr="00022303">
        <w:rPr>
          <w:rFonts w:ascii="Work Sans" w:hAnsi="Work Sans"/>
          <w:b/>
          <w:color w:val="000000"/>
          <w:shd w:val="clear" w:color="auto" w:fill="FFFFFF"/>
        </w:rPr>
        <w:t>pese di trasferta</w:t>
      </w:r>
      <w:r>
        <w:rPr>
          <w:rFonts w:ascii="Work Sans" w:hAnsi="Work Sans"/>
          <w:color w:val="000000"/>
          <w:shd w:val="clear" w:color="auto" w:fill="FFFFFF"/>
        </w:rPr>
        <w:t>.</w:t>
      </w:r>
    </w:p>
    <w:p w14:paraId="59BF1B1D" w14:textId="77777777" w:rsidR="0010388F" w:rsidRDefault="0010388F" w:rsidP="0010388F">
      <w:pPr>
        <w:jc w:val="both"/>
        <w:rPr>
          <w:rFonts w:ascii="Work Sans" w:hAnsi="Work Sans"/>
          <w:color w:val="000000"/>
          <w:shd w:val="clear" w:color="auto" w:fill="FFFFFF"/>
        </w:rPr>
      </w:pPr>
    </w:p>
    <w:p w14:paraId="3F02F666" w14:textId="77777777" w:rsidR="002B5D0A" w:rsidRPr="00CE6BDA" w:rsidRDefault="002B5D0A" w:rsidP="0010388F">
      <w:pPr>
        <w:pStyle w:val="NormaleWeb"/>
        <w:shd w:val="clear" w:color="auto" w:fill="FFFFFF"/>
        <w:spacing w:before="0" w:beforeAutospacing="0" w:after="0" w:afterAutospacing="0"/>
        <w:jc w:val="both"/>
        <w:textAlignment w:val="baseline"/>
        <w:rPr>
          <w:rFonts w:ascii="Work Sans" w:hAnsi="Work Sans"/>
          <w:i/>
          <w:color w:val="000000"/>
          <w:shd w:val="clear" w:color="auto" w:fill="FFFFFF"/>
        </w:rPr>
      </w:pPr>
      <w:r w:rsidRPr="00CE6BDA">
        <w:rPr>
          <w:rFonts w:ascii="Work Sans" w:hAnsi="Work Sans"/>
          <w:i/>
          <w:iCs/>
          <w:color w:val="000000"/>
          <w:shd w:val="clear" w:color="auto" w:fill="FFFFFF"/>
        </w:rPr>
        <w:t>A partire dal 1° gennaio 2025, entrano in vigore nuove disposizioni fiscali che impongono l’utilizzo di sistemi di pagamento tracciabili per la deducibilità delle spese di trasferta sosten</w:t>
      </w:r>
      <w:bookmarkStart w:id="0" w:name="_GoBack"/>
      <w:bookmarkEnd w:id="0"/>
      <w:r w:rsidRPr="00CE6BDA">
        <w:rPr>
          <w:rFonts w:ascii="Work Sans" w:hAnsi="Work Sans"/>
          <w:i/>
          <w:iCs/>
          <w:color w:val="000000"/>
          <w:shd w:val="clear" w:color="auto" w:fill="FFFFFF"/>
        </w:rPr>
        <w:t>ute da lavoratori dipendenti e autonomi. Queste misure, introdotte dalla Legge di Bilancio 2025 (</w:t>
      </w:r>
      <w:hyperlink r:id="rId6" w:history="1">
        <w:r w:rsidRPr="00CE6BDA">
          <w:rPr>
            <w:rFonts w:ascii="Work Sans" w:hAnsi="Work Sans"/>
            <w:i/>
            <w:color w:val="000000"/>
            <w:shd w:val="clear" w:color="auto" w:fill="FFFFFF"/>
          </w:rPr>
          <w:t>Legge n. 207/2024</w:t>
        </w:r>
      </w:hyperlink>
      <w:r w:rsidRPr="00CE6BDA">
        <w:rPr>
          <w:rFonts w:ascii="Work Sans" w:hAnsi="Work Sans"/>
          <w:i/>
          <w:iCs/>
          <w:color w:val="000000"/>
          <w:shd w:val="clear" w:color="auto" w:fill="FFFFFF"/>
        </w:rPr>
        <w:t>) e dal </w:t>
      </w:r>
      <w:hyperlink r:id="rId7" w:history="1">
        <w:r w:rsidRPr="00CE6BDA">
          <w:rPr>
            <w:rFonts w:ascii="Work Sans" w:hAnsi="Work Sans"/>
            <w:i/>
            <w:color w:val="000000"/>
            <w:shd w:val="clear" w:color="auto" w:fill="FFFFFF"/>
          </w:rPr>
          <w:t>Decreto Legislativo n. 192/2024</w:t>
        </w:r>
      </w:hyperlink>
      <w:r w:rsidRPr="00CE6BDA">
        <w:rPr>
          <w:rFonts w:ascii="Work Sans" w:hAnsi="Work Sans"/>
          <w:i/>
          <w:iCs/>
          <w:color w:val="000000"/>
          <w:shd w:val="clear" w:color="auto" w:fill="FFFFFF"/>
        </w:rPr>
        <w:t> di riforma IRPEF-IRES, mirano a contrastare l’evasione fiscale e richiedono alle aziende una revisione delle policy relative alle trasferte e ai rimborsi spese.</w:t>
      </w:r>
    </w:p>
    <w:p w14:paraId="6FB379D9" w14:textId="77777777" w:rsidR="002B5D0A" w:rsidRPr="00CE6BDA" w:rsidRDefault="002B5D0A" w:rsidP="002B5D0A">
      <w:pPr>
        <w:pStyle w:val="NormaleWeb"/>
        <w:shd w:val="clear" w:color="auto" w:fill="FFFFFF"/>
        <w:spacing w:before="0" w:beforeAutospacing="0" w:after="0" w:afterAutospacing="0"/>
        <w:textAlignment w:val="baseline"/>
        <w:rPr>
          <w:rFonts w:ascii="Work Sans" w:hAnsi="Work Sans"/>
          <w:i/>
          <w:color w:val="000000"/>
          <w:shd w:val="clear" w:color="auto" w:fill="FFFFFF"/>
        </w:rPr>
      </w:pPr>
      <w:r w:rsidRPr="00CE6BDA">
        <w:rPr>
          <w:rFonts w:ascii="Work Sans" w:hAnsi="Work Sans"/>
          <w:i/>
          <w:color w:val="000000"/>
          <w:shd w:val="clear" w:color="auto" w:fill="FFFFFF"/>
        </w:rPr>
        <w:t> </w:t>
      </w:r>
    </w:p>
    <w:p w14:paraId="53566F05" w14:textId="77777777" w:rsidR="002B5D0A" w:rsidRPr="00CE6BDA" w:rsidRDefault="002B5D0A" w:rsidP="002B5D0A">
      <w:pPr>
        <w:pStyle w:val="NormaleWeb"/>
        <w:shd w:val="clear" w:color="auto" w:fill="FFFFFF"/>
        <w:spacing w:before="0" w:beforeAutospacing="0" w:after="0" w:afterAutospacing="0"/>
        <w:textAlignment w:val="baseline"/>
        <w:rPr>
          <w:rFonts w:ascii="Work Sans" w:hAnsi="Work Sans"/>
          <w:i/>
          <w:color w:val="000000"/>
          <w:shd w:val="clear" w:color="auto" w:fill="FFFFFF"/>
        </w:rPr>
      </w:pPr>
      <w:r w:rsidRPr="00CE6BDA">
        <w:rPr>
          <w:rFonts w:ascii="Work Sans" w:hAnsi="Work Sans"/>
          <w:b/>
          <w:bCs/>
          <w:i/>
          <w:color w:val="000000"/>
          <w:shd w:val="clear" w:color="auto" w:fill="FFFFFF"/>
        </w:rPr>
        <w:t>Regole per i lavoratori dipendenti</w:t>
      </w:r>
    </w:p>
    <w:p w14:paraId="35EDEFF4" w14:textId="77777777" w:rsidR="002B5D0A" w:rsidRPr="00CE6BDA" w:rsidRDefault="002B5D0A" w:rsidP="00FB726A">
      <w:pPr>
        <w:pStyle w:val="NormaleWeb"/>
        <w:shd w:val="clear" w:color="auto" w:fill="FFFFFF"/>
        <w:spacing w:before="0" w:beforeAutospacing="0" w:after="0" w:afterAutospacing="0"/>
        <w:jc w:val="both"/>
        <w:textAlignment w:val="baseline"/>
        <w:rPr>
          <w:rFonts w:ascii="Work Sans" w:hAnsi="Work Sans"/>
          <w:i/>
          <w:color w:val="000000"/>
          <w:shd w:val="clear" w:color="auto" w:fill="FFFFFF"/>
        </w:rPr>
      </w:pPr>
      <w:r w:rsidRPr="00CE6BDA">
        <w:rPr>
          <w:rFonts w:ascii="Work Sans" w:hAnsi="Work Sans"/>
          <w:i/>
          <w:color w:val="000000"/>
          <w:shd w:val="clear" w:color="auto" w:fill="FFFFFF"/>
        </w:rPr>
        <w:t>I commi da 81 a 86 dell’articolo 1 della Legge n. 207/2024 introducono importanti restrizioni sulla deducibilità delle spese relative alle trasferte, applicabili sia ai lavoratori subordinati che autonomi.</w:t>
      </w:r>
    </w:p>
    <w:p w14:paraId="041B3504" w14:textId="77777777" w:rsidR="002B5D0A" w:rsidRPr="00CE6BDA" w:rsidRDefault="002B5D0A" w:rsidP="00FB726A">
      <w:pPr>
        <w:pStyle w:val="NormaleWeb"/>
        <w:shd w:val="clear" w:color="auto" w:fill="FFFFFF"/>
        <w:spacing w:before="0" w:beforeAutospacing="0" w:after="0" w:afterAutospacing="0"/>
        <w:jc w:val="both"/>
        <w:textAlignment w:val="baseline"/>
        <w:rPr>
          <w:rFonts w:ascii="Work Sans" w:hAnsi="Work Sans"/>
          <w:i/>
          <w:color w:val="000000"/>
          <w:shd w:val="clear" w:color="auto" w:fill="FFFFFF"/>
        </w:rPr>
      </w:pPr>
      <w:r w:rsidRPr="00CE6BDA">
        <w:rPr>
          <w:rFonts w:ascii="Work Sans" w:hAnsi="Work Sans"/>
          <w:i/>
          <w:color w:val="000000"/>
          <w:shd w:val="clear" w:color="auto" w:fill="FFFFFF"/>
        </w:rPr>
        <w:t>A partire dall’anno fiscale 2025, i dipendenti che si sposteranno per trasferte o missioni, sia all’interno che all’esterno del comune in cui si trova il loro luogo di lavoro, potranno escludere dal reddito imponibile le spese di vitto, alloggio, viaggio e trasporto (comprese quelle sostenute per servizi di taxi e NCC), rimborsate dal datore di lavoro, se i pagamenti saranno effettuati tramite </w:t>
      </w:r>
      <w:r w:rsidRPr="00CE6BDA">
        <w:rPr>
          <w:rFonts w:ascii="Work Sans" w:hAnsi="Work Sans"/>
          <w:b/>
          <w:bCs/>
          <w:i/>
          <w:color w:val="000000"/>
          <w:shd w:val="clear" w:color="auto" w:fill="FFFFFF"/>
        </w:rPr>
        <w:t>strumenti tracciabili</w:t>
      </w:r>
      <w:r w:rsidRPr="00CE6BDA">
        <w:rPr>
          <w:rFonts w:ascii="Work Sans" w:hAnsi="Work Sans"/>
          <w:i/>
          <w:color w:val="000000"/>
          <w:shd w:val="clear" w:color="auto" w:fill="FFFFFF"/>
        </w:rPr>
        <w:t> come carte di credito, bancomat, prepagate, applicazioni di pagamento, assegni bancari o circolari.</w:t>
      </w:r>
    </w:p>
    <w:p w14:paraId="22CD97F9" w14:textId="31AD9825" w:rsidR="002B5D0A" w:rsidRPr="00CE6BDA" w:rsidRDefault="002B5D0A" w:rsidP="00FB726A">
      <w:pPr>
        <w:pStyle w:val="NormaleWeb"/>
        <w:shd w:val="clear" w:color="auto" w:fill="FFFFFF"/>
        <w:spacing w:before="0" w:beforeAutospacing="0" w:after="0" w:afterAutospacing="0"/>
        <w:jc w:val="both"/>
        <w:textAlignment w:val="baseline"/>
        <w:rPr>
          <w:rFonts w:ascii="Work Sans" w:hAnsi="Work Sans"/>
          <w:i/>
          <w:color w:val="000000"/>
          <w:shd w:val="clear" w:color="auto" w:fill="FFFFFF"/>
        </w:rPr>
      </w:pPr>
      <w:r w:rsidRPr="00CE6BDA">
        <w:rPr>
          <w:rFonts w:ascii="Work Sans" w:hAnsi="Work Sans"/>
          <w:i/>
          <w:color w:val="000000"/>
          <w:shd w:val="clear" w:color="auto" w:fill="FFFFFF"/>
        </w:rPr>
        <w:t xml:space="preserve">Di conseguenza, </w:t>
      </w:r>
      <w:r w:rsidR="00022303" w:rsidRPr="00CE6BDA">
        <w:rPr>
          <w:rFonts w:ascii="Work Sans" w:hAnsi="Work Sans"/>
          <w:i/>
          <w:color w:val="000000"/>
          <w:shd w:val="clear" w:color="auto" w:fill="FFFFFF"/>
        </w:rPr>
        <w:t xml:space="preserve">per giustificare le spese </w:t>
      </w:r>
      <w:r w:rsidRPr="00CE6BDA">
        <w:rPr>
          <w:rFonts w:ascii="Work Sans" w:hAnsi="Work Sans"/>
          <w:i/>
          <w:color w:val="000000"/>
          <w:shd w:val="clear" w:color="auto" w:fill="FFFFFF"/>
        </w:rPr>
        <w:t>non basterà più compilare semplici moduli forniti dall’azienda</w:t>
      </w:r>
      <w:r w:rsidR="00022303">
        <w:rPr>
          <w:rFonts w:ascii="Work Sans" w:hAnsi="Work Sans"/>
          <w:i/>
          <w:color w:val="000000"/>
          <w:shd w:val="clear" w:color="auto" w:fill="FFFFFF"/>
        </w:rPr>
        <w:t xml:space="preserve"> </w:t>
      </w:r>
      <w:proofErr w:type="spellStart"/>
      <w:r w:rsidR="00022303">
        <w:rPr>
          <w:rFonts w:ascii="Work Sans" w:hAnsi="Work Sans"/>
          <w:i/>
          <w:color w:val="000000"/>
          <w:shd w:val="clear" w:color="auto" w:fill="FFFFFF"/>
        </w:rPr>
        <w:t>ma</w:t>
      </w:r>
      <w:r w:rsidRPr="00CE6BDA">
        <w:rPr>
          <w:rFonts w:ascii="Work Sans" w:hAnsi="Work Sans"/>
          <w:i/>
          <w:color w:val="000000"/>
          <w:shd w:val="clear" w:color="auto" w:fill="FFFFFF"/>
        </w:rPr>
        <w:t>sarà</w:t>
      </w:r>
      <w:proofErr w:type="spellEnd"/>
      <w:r w:rsidRPr="00CE6BDA">
        <w:rPr>
          <w:rFonts w:ascii="Work Sans" w:hAnsi="Work Sans"/>
          <w:i/>
          <w:color w:val="000000"/>
          <w:shd w:val="clear" w:color="auto" w:fill="FFFFFF"/>
        </w:rPr>
        <w:t xml:space="preserve"> indispensabile dimostrare la tracciabilità di ogni pagamento effettuato. </w:t>
      </w:r>
      <w:r w:rsidRPr="00CE6BDA">
        <w:rPr>
          <w:rFonts w:ascii="Work Sans" w:hAnsi="Work Sans"/>
          <w:b/>
          <w:i/>
          <w:color w:val="000000"/>
          <w:shd w:val="clear" w:color="auto" w:fill="FFFFFF"/>
        </w:rPr>
        <w:t>Nel caso in cui le spese siano state sostenute in contanti e successivamente richieste a rimborso, queste saranno soggette a tassazione e contribuzione, al pari di qualsiasi altra forma di compenso erogata al lavoratore</w:t>
      </w:r>
      <w:r w:rsidRPr="00CE6BDA">
        <w:rPr>
          <w:rFonts w:ascii="Work Sans" w:hAnsi="Work Sans"/>
          <w:i/>
          <w:color w:val="000000"/>
          <w:shd w:val="clear" w:color="auto" w:fill="FFFFFF"/>
        </w:rPr>
        <w:t>.</w:t>
      </w:r>
    </w:p>
    <w:p w14:paraId="4CA47CDF" w14:textId="5D575B90" w:rsidR="00AC2899" w:rsidRPr="00CE6BDA" w:rsidRDefault="002B5D0A" w:rsidP="00CE6BDA">
      <w:pPr>
        <w:pStyle w:val="NormaleWeb"/>
        <w:shd w:val="clear" w:color="auto" w:fill="FFFFFF"/>
        <w:spacing w:before="0" w:beforeAutospacing="0" w:after="0" w:afterAutospacing="0"/>
        <w:jc w:val="both"/>
        <w:textAlignment w:val="baseline"/>
        <w:rPr>
          <w:rFonts w:ascii="Work Sans" w:hAnsi="Work Sans"/>
          <w:i/>
          <w:color w:val="000000"/>
          <w:shd w:val="clear" w:color="auto" w:fill="FFFFFF"/>
        </w:rPr>
      </w:pPr>
      <w:r w:rsidRPr="00CE6BDA">
        <w:rPr>
          <w:rFonts w:ascii="Work Sans" w:hAnsi="Work Sans"/>
          <w:i/>
          <w:color w:val="000000"/>
          <w:shd w:val="clear" w:color="auto" w:fill="FFFFFF"/>
        </w:rPr>
        <w:t xml:space="preserve">Inoltre, non vengono apportate modifiche alle disposizioni fiscali che differenziano le trasferte fuori dal comune da quelle interne al comune, salvo per quanto riguarda l’obbligo di tracciabilità di alcune spese. Nelle trasferte extra-comunali, continueranno a essere riconosciute le indennità forfettarie previste dall’articolo 51, comma 5, del TUIR, </w:t>
      </w:r>
      <w:r w:rsidR="00AC2899" w:rsidRPr="00CE6BDA">
        <w:rPr>
          <w:rFonts w:ascii="Work Sans" w:hAnsi="Work Sans"/>
          <w:i/>
          <w:color w:val="000000"/>
          <w:shd w:val="clear" w:color="auto" w:fill="FFFFFF"/>
        </w:rPr>
        <w:t>infatti il rimborso chilometrico è ammesso in deduzione ai fini delle imposte sui redditi per un costo non superiore a quello stabilito dalle tabelle ACI per autoveicoli di potenza non superiore a 17 cavalli fiscali se alimentate a benzina o 20 se alimentate a diesel. Le tabelle ACI sono aggiornate ogni 6 (sei) mesi, in marzo e in settembre.</w:t>
      </w:r>
    </w:p>
    <w:p w14:paraId="2867734A" w14:textId="6EAED955" w:rsidR="00AC2899" w:rsidRPr="00CE6BDA" w:rsidRDefault="00AC2899" w:rsidP="00CE6BDA">
      <w:pPr>
        <w:pStyle w:val="NormaleWeb"/>
        <w:shd w:val="clear" w:color="auto" w:fill="FFFFFF"/>
        <w:spacing w:before="204" w:beforeAutospacing="0" w:after="204" w:afterAutospacing="0"/>
        <w:jc w:val="both"/>
        <w:textAlignment w:val="baseline"/>
        <w:rPr>
          <w:rFonts w:ascii="Helvetica" w:hAnsi="Helvetica"/>
          <w:i/>
          <w:color w:val="7C6853"/>
        </w:rPr>
      </w:pPr>
      <w:r w:rsidRPr="00CE6BDA">
        <w:rPr>
          <w:rFonts w:ascii="Work Sans" w:hAnsi="Work Sans"/>
          <w:i/>
          <w:color w:val="000000"/>
          <w:shd w:val="clear" w:color="auto" w:fill="FFFFFF"/>
        </w:rPr>
        <w:t>P</w:t>
      </w:r>
      <w:r w:rsidR="002B5D0A" w:rsidRPr="00CE6BDA">
        <w:rPr>
          <w:rFonts w:ascii="Work Sans" w:hAnsi="Work Sans"/>
          <w:i/>
          <w:color w:val="000000"/>
          <w:shd w:val="clear" w:color="auto" w:fill="FFFFFF"/>
        </w:rPr>
        <w:t xml:space="preserve">er le trasferte </w:t>
      </w:r>
      <w:r w:rsidR="00CE6BDA" w:rsidRPr="00CE6BDA">
        <w:rPr>
          <w:rFonts w:ascii="Work Sans" w:hAnsi="Work Sans"/>
          <w:i/>
          <w:color w:val="000000"/>
          <w:shd w:val="clear" w:color="auto" w:fill="FFFFFF"/>
        </w:rPr>
        <w:t>nel comune</w:t>
      </w:r>
      <w:r w:rsidR="002B5D0A" w:rsidRPr="00CE6BDA">
        <w:rPr>
          <w:rFonts w:ascii="Work Sans" w:hAnsi="Work Sans"/>
          <w:i/>
          <w:color w:val="000000"/>
          <w:shd w:val="clear" w:color="auto" w:fill="FFFFFF"/>
        </w:rPr>
        <w:t xml:space="preserve"> tutte le indennità e i rimborsi saranno interamente imponibili, a meno che non si tratti di spese di viaggio e trasporto tracciate e adeguatamente documentate.</w:t>
      </w:r>
      <w:r w:rsidR="00FB726A" w:rsidRPr="00CE6BDA">
        <w:rPr>
          <w:rFonts w:ascii="Work Sans" w:hAnsi="Work Sans"/>
          <w:i/>
          <w:color w:val="000000"/>
          <w:shd w:val="clear" w:color="auto" w:fill="FFFFFF"/>
        </w:rPr>
        <w:t xml:space="preserve"> </w:t>
      </w:r>
    </w:p>
    <w:p w14:paraId="2E6F2017" w14:textId="7B609A5F" w:rsidR="002B5D0A" w:rsidRPr="00022303" w:rsidRDefault="002B5D0A" w:rsidP="00FB726A">
      <w:pPr>
        <w:pStyle w:val="NormaleWeb"/>
        <w:shd w:val="clear" w:color="auto" w:fill="FFFFFF"/>
        <w:spacing w:before="0" w:beforeAutospacing="0" w:after="0" w:afterAutospacing="0"/>
        <w:jc w:val="both"/>
        <w:textAlignment w:val="baseline"/>
        <w:rPr>
          <w:rFonts w:ascii="Work Sans" w:hAnsi="Work Sans"/>
          <w:b/>
          <w:i/>
          <w:color w:val="000000"/>
          <w:shd w:val="clear" w:color="auto" w:fill="FFFFFF"/>
        </w:rPr>
      </w:pPr>
      <w:r w:rsidRPr="00022303">
        <w:rPr>
          <w:rFonts w:ascii="Work Sans" w:hAnsi="Work Sans"/>
          <w:b/>
          <w:i/>
          <w:iCs/>
          <w:color w:val="000000"/>
          <w:shd w:val="clear" w:color="auto" w:fill="FFFFFF"/>
        </w:rPr>
        <w:lastRenderedPageBreak/>
        <w:t>Semplificazione per la documentazione di viaggio</w:t>
      </w:r>
    </w:p>
    <w:p w14:paraId="782EEC6B" w14:textId="77777777" w:rsidR="002B5D0A" w:rsidRPr="00CE6BDA" w:rsidRDefault="002B5D0A" w:rsidP="00FB726A">
      <w:pPr>
        <w:pStyle w:val="NormaleWeb"/>
        <w:shd w:val="clear" w:color="auto" w:fill="FFFFFF"/>
        <w:spacing w:before="0" w:beforeAutospacing="0" w:after="0" w:afterAutospacing="0"/>
        <w:jc w:val="both"/>
        <w:textAlignment w:val="baseline"/>
        <w:rPr>
          <w:rFonts w:ascii="Work Sans" w:hAnsi="Work Sans"/>
          <w:i/>
          <w:color w:val="000000"/>
          <w:shd w:val="clear" w:color="auto" w:fill="FFFFFF"/>
        </w:rPr>
      </w:pPr>
      <w:r w:rsidRPr="00CE6BDA">
        <w:rPr>
          <w:rFonts w:ascii="Work Sans" w:hAnsi="Work Sans"/>
          <w:i/>
          <w:color w:val="000000"/>
          <w:shd w:val="clear" w:color="auto" w:fill="FFFFFF"/>
        </w:rPr>
        <w:t>Un’importante novità introdotta dall’articolo 3, comma 1, lettera b, del decreto di riforma IRPEF-IRES (</w:t>
      </w:r>
      <w:proofErr w:type="spellStart"/>
      <w:r w:rsidRPr="00CE6BDA">
        <w:rPr>
          <w:rFonts w:ascii="Work Sans" w:hAnsi="Work Sans"/>
          <w:i/>
          <w:color w:val="000000"/>
          <w:shd w:val="clear" w:color="auto" w:fill="FFFFFF"/>
        </w:rPr>
        <w:fldChar w:fldCharType="begin"/>
      </w:r>
      <w:r w:rsidRPr="00CE6BDA">
        <w:rPr>
          <w:rFonts w:ascii="Work Sans" w:hAnsi="Work Sans"/>
          <w:i/>
          <w:color w:val="000000"/>
          <w:shd w:val="clear" w:color="auto" w:fill="FFFFFF"/>
        </w:rPr>
        <w:instrText xml:space="preserve"> HYPERLINK "https://www.normattiva.it/uri-res/N2Ls?urn:nir:stato:decreto.legislativo:2024-12-13;192!vig=" </w:instrText>
      </w:r>
      <w:r w:rsidRPr="00CE6BDA">
        <w:rPr>
          <w:rFonts w:ascii="Work Sans" w:hAnsi="Work Sans"/>
          <w:i/>
          <w:color w:val="000000"/>
          <w:shd w:val="clear" w:color="auto" w:fill="FFFFFF"/>
        </w:rPr>
        <w:fldChar w:fldCharType="separate"/>
      </w:r>
      <w:r w:rsidRPr="00CE6BDA">
        <w:rPr>
          <w:rFonts w:ascii="Work Sans" w:hAnsi="Work Sans"/>
          <w:i/>
          <w:color w:val="000000"/>
          <w:shd w:val="clear" w:color="auto" w:fill="FFFFFF"/>
        </w:rPr>
        <w:t>D.Lgs.</w:t>
      </w:r>
      <w:proofErr w:type="spellEnd"/>
      <w:r w:rsidRPr="00CE6BDA">
        <w:rPr>
          <w:rFonts w:ascii="Work Sans" w:hAnsi="Work Sans"/>
          <w:i/>
          <w:color w:val="000000"/>
          <w:shd w:val="clear" w:color="auto" w:fill="FFFFFF"/>
        </w:rPr>
        <w:t xml:space="preserve"> n. 192/2024</w:t>
      </w:r>
      <w:r w:rsidRPr="00CE6BDA">
        <w:rPr>
          <w:rFonts w:ascii="Work Sans" w:hAnsi="Work Sans"/>
          <w:i/>
          <w:color w:val="000000"/>
          <w:shd w:val="clear" w:color="auto" w:fill="FFFFFF"/>
        </w:rPr>
        <w:fldChar w:fldCharType="end"/>
      </w:r>
      <w:r w:rsidRPr="00CE6BDA">
        <w:rPr>
          <w:rFonts w:ascii="Work Sans" w:hAnsi="Work Sans"/>
          <w:i/>
          <w:color w:val="000000"/>
          <w:shd w:val="clear" w:color="auto" w:fill="FFFFFF"/>
        </w:rPr>
        <w:t>) consente ai lavoratori di non presentare documentazione dettagliata rilasciata dal vettore, purché le spese siano sostenute con mezzi tracciabili e adeguatamente comprovate.</w:t>
      </w:r>
    </w:p>
    <w:p w14:paraId="3B30AB73" w14:textId="77777777" w:rsidR="002B5D0A" w:rsidRPr="00CE6BDA" w:rsidRDefault="002B5D0A" w:rsidP="00FB726A">
      <w:pPr>
        <w:pStyle w:val="NormaleWeb"/>
        <w:shd w:val="clear" w:color="auto" w:fill="FFFFFF"/>
        <w:spacing w:before="0" w:beforeAutospacing="0" w:after="0" w:afterAutospacing="0"/>
        <w:jc w:val="both"/>
        <w:textAlignment w:val="baseline"/>
        <w:rPr>
          <w:rFonts w:ascii="Work Sans" w:hAnsi="Work Sans"/>
          <w:i/>
          <w:color w:val="000000"/>
          <w:shd w:val="clear" w:color="auto" w:fill="FFFFFF"/>
        </w:rPr>
      </w:pPr>
      <w:r w:rsidRPr="00CE6BDA">
        <w:rPr>
          <w:rFonts w:ascii="Work Sans" w:hAnsi="Work Sans"/>
          <w:i/>
          <w:color w:val="000000"/>
          <w:shd w:val="clear" w:color="auto" w:fill="FFFFFF"/>
        </w:rPr>
        <w:t>Infine, rimane invariato l’obbligo di indicare sul Libro Unico del Lavoro tutte le somme erogate al lavoratore, comprese quelle corrisposte a titolo di rimborso spese, anche se effettuate nell’interesse del datore di lavoro.</w:t>
      </w:r>
    </w:p>
    <w:p w14:paraId="552E27E1" w14:textId="77777777" w:rsidR="002B5D0A" w:rsidRPr="00CE6BDA" w:rsidRDefault="002B5D0A" w:rsidP="00FB726A">
      <w:pPr>
        <w:pStyle w:val="NormaleWeb"/>
        <w:shd w:val="clear" w:color="auto" w:fill="FFFFFF"/>
        <w:spacing w:before="0" w:beforeAutospacing="0" w:after="0" w:afterAutospacing="0"/>
        <w:jc w:val="both"/>
        <w:textAlignment w:val="baseline"/>
        <w:rPr>
          <w:rFonts w:ascii="Work Sans" w:hAnsi="Work Sans"/>
          <w:i/>
          <w:color w:val="000000"/>
          <w:shd w:val="clear" w:color="auto" w:fill="FFFFFF"/>
        </w:rPr>
      </w:pPr>
      <w:r w:rsidRPr="00CE6BDA">
        <w:rPr>
          <w:rFonts w:ascii="Work Sans" w:hAnsi="Work Sans"/>
          <w:i/>
          <w:color w:val="000000"/>
          <w:shd w:val="clear" w:color="auto" w:fill="FFFFFF"/>
        </w:rPr>
        <w:t> </w:t>
      </w:r>
    </w:p>
    <w:p w14:paraId="66BCB90E" w14:textId="77777777" w:rsidR="002B5D0A" w:rsidRPr="00CE6BDA" w:rsidRDefault="002B5D0A" w:rsidP="00FB726A">
      <w:pPr>
        <w:pStyle w:val="NormaleWeb"/>
        <w:shd w:val="clear" w:color="auto" w:fill="FFFFFF"/>
        <w:spacing w:before="0" w:beforeAutospacing="0" w:after="0" w:afterAutospacing="0"/>
        <w:jc w:val="both"/>
        <w:textAlignment w:val="baseline"/>
        <w:rPr>
          <w:rFonts w:ascii="Work Sans" w:hAnsi="Work Sans"/>
          <w:i/>
          <w:color w:val="000000"/>
          <w:shd w:val="clear" w:color="auto" w:fill="FFFFFF"/>
        </w:rPr>
      </w:pPr>
      <w:r w:rsidRPr="00CE6BDA">
        <w:rPr>
          <w:rFonts w:ascii="Work Sans" w:hAnsi="Work Sans"/>
          <w:b/>
          <w:bCs/>
          <w:i/>
          <w:color w:val="000000"/>
          <w:shd w:val="clear" w:color="auto" w:fill="FFFFFF"/>
        </w:rPr>
        <w:t>Regole per i lavoratori autonomi</w:t>
      </w:r>
    </w:p>
    <w:p w14:paraId="71143183" w14:textId="77777777" w:rsidR="002B5D0A" w:rsidRPr="00CE6BDA" w:rsidRDefault="002B5D0A" w:rsidP="00FB726A">
      <w:pPr>
        <w:pStyle w:val="NormaleWeb"/>
        <w:shd w:val="clear" w:color="auto" w:fill="FFFFFF"/>
        <w:spacing w:before="0" w:beforeAutospacing="0" w:after="0" w:afterAutospacing="0"/>
        <w:jc w:val="both"/>
        <w:textAlignment w:val="baseline"/>
        <w:rPr>
          <w:rFonts w:ascii="Work Sans" w:hAnsi="Work Sans"/>
          <w:i/>
          <w:color w:val="000000"/>
          <w:shd w:val="clear" w:color="auto" w:fill="FFFFFF"/>
        </w:rPr>
      </w:pPr>
      <w:r w:rsidRPr="00CE6BDA">
        <w:rPr>
          <w:rFonts w:ascii="Work Sans" w:hAnsi="Work Sans"/>
          <w:i/>
          <w:color w:val="000000"/>
          <w:shd w:val="clear" w:color="auto" w:fill="FFFFFF"/>
        </w:rPr>
        <w:t>La Legge di Bilancio 2025 introduce importanti modifiche alla disciplina delle spese di trasferta, coinvolgendo anche i lavoratori autonomi. Le novità riguardano, tra gli altri, l’articolo 54 del TUIR, relativo alla determinazione del reddito da lavoro autonomo.</w:t>
      </w:r>
    </w:p>
    <w:p w14:paraId="2EBC7038" w14:textId="77777777" w:rsidR="002B5D0A" w:rsidRPr="00CE6BDA" w:rsidRDefault="002B5D0A" w:rsidP="00FB726A">
      <w:pPr>
        <w:pStyle w:val="NormaleWeb"/>
        <w:shd w:val="clear" w:color="auto" w:fill="FFFFFF"/>
        <w:spacing w:before="0" w:beforeAutospacing="0" w:after="0" w:afterAutospacing="0"/>
        <w:jc w:val="both"/>
        <w:textAlignment w:val="baseline"/>
        <w:rPr>
          <w:rFonts w:ascii="Work Sans" w:hAnsi="Work Sans"/>
          <w:i/>
          <w:color w:val="000000"/>
          <w:shd w:val="clear" w:color="auto" w:fill="FFFFFF"/>
        </w:rPr>
      </w:pPr>
      <w:r w:rsidRPr="00CE6BDA">
        <w:rPr>
          <w:rFonts w:ascii="Work Sans" w:hAnsi="Work Sans"/>
          <w:i/>
          <w:color w:val="000000"/>
          <w:shd w:val="clear" w:color="auto" w:fill="FFFFFF"/>
        </w:rPr>
        <w:t>Dal 1° gennaio 2025, le spese per prestazioni alberghiere, consumazioni di alimenti e bevande, viaggi e trasporti con autoservizi pubblici non di linea, nonché i rimborsi chilometrici relativi a tali spese, saranno </w:t>
      </w:r>
      <w:r w:rsidRPr="00CE6BDA">
        <w:rPr>
          <w:rFonts w:ascii="Work Sans" w:hAnsi="Work Sans"/>
          <w:b/>
          <w:bCs/>
          <w:i/>
          <w:color w:val="000000"/>
          <w:shd w:val="clear" w:color="auto" w:fill="FFFFFF"/>
        </w:rPr>
        <w:t>deducibili solo se pagate utilizzando strumenti tracciabili</w:t>
      </w:r>
      <w:r w:rsidRPr="00CE6BDA">
        <w:rPr>
          <w:rFonts w:ascii="Work Sans" w:hAnsi="Work Sans"/>
          <w:i/>
          <w:color w:val="000000"/>
          <w:shd w:val="clear" w:color="auto" w:fill="FFFFFF"/>
        </w:rPr>
        <w:t>. Tali disposizioni si applicano sia alle spese addebitate in modo analitico al committente sia ai rimborsi corrisposti per le trasferte di dipendenti o lavoratori autonomi.</w:t>
      </w:r>
    </w:p>
    <w:p w14:paraId="0E29D11D" w14:textId="77777777" w:rsidR="002B5D0A" w:rsidRPr="00CE6BDA" w:rsidRDefault="002B5D0A" w:rsidP="00FB726A">
      <w:pPr>
        <w:pStyle w:val="NormaleWeb"/>
        <w:shd w:val="clear" w:color="auto" w:fill="FFFFFF"/>
        <w:spacing w:before="0" w:beforeAutospacing="0" w:after="0" w:afterAutospacing="0"/>
        <w:jc w:val="both"/>
        <w:textAlignment w:val="baseline"/>
        <w:rPr>
          <w:rFonts w:ascii="Work Sans" w:hAnsi="Work Sans"/>
          <w:i/>
          <w:color w:val="000000"/>
          <w:shd w:val="clear" w:color="auto" w:fill="FFFFFF"/>
        </w:rPr>
      </w:pPr>
      <w:r w:rsidRPr="00CE6BDA">
        <w:rPr>
          <w:rFonts w:ascii="Work Sans" w:hAnsi="Work Sans"/>
          <w:i/>
          <w:color w:val="000000"/>
          <w:shd w:val="clear" w:color="auto" w:fill="FFFFFF"/>
        </w:rPr>
        <w:t>La normativa unifica il trattamento fiscale per dipendenti e autonomi: qualora i pagamenti non siano effettuati in conformità alle prescrizioni, gli importi erogati verranno considerati come reddito da lavoro autonomo. Questo comporta un aumento del carico fiscale per i lavoratori e, per datori di lavoro o committenti, l’impossibilità di dedurre i costi sostenuti.</w:t>
      </w:r>
    </w:p>
    <w:p w14:paraId="754804EC" w14:textId="77777777" w:rsidR="002B5D0A" w:rsidRPr="00CE6BDA" w:rsidRDefault="002B5D0A" w:rsidP="00FB726A">
      <w:pPr>
        <w:pStyle w:val="NormaleWeb"/>
        <w:shd w:val="clear" w:color="auto" w:fill="FFFFFF"/>
        <w:spacing w:before="0" w:beforeAutospacing="0" w:after="0" w:afterAutospacing="0"/>
        <w:jc w:val="both"/>
        <w:textAlignment w:val="baseline"/>
        <w:rPr>
          <w:rFonts w:ascii="Work Sans" w:hAnsi="Work Sans"/>
          <w:i/>
          <w:color w:val="000000"/>
          <w:shd w:val="clear" w:color="auto" w:fill="FFFFFF"/>
        </w:rPr>
      </w:pPr>
      <w:r w:rsidRPr="00CE6BDA">
        <w:rPr>
          <w:rFonts w:ascii="Work Sans" w:hAnsi="Work Sans"/>
          <w:i/>
          <w:color w:val="000000"/>
          <w:shd w:val="clear" w:color="auto" w:fill="FFFFFF"/>
        </w:rPr>
        <w:t> </w:t>
      </w:r>
    </w:p>
    <w:p w14:paraId="1599F3F0" w14:textId="3235C0D1" w:rsidR="00022303" w:rsidRPr="00022303" w:rsidRDefault="00022303" w:rsidP="00FB726A">
      <w:pPr>
        <w:pStyle w:val="NormaleWeb"/>
        <w:shd w:val="clear" w:color="auto" w:fill="FFFFFF"/>
        <w:spacing w:before="0" w:beforeAutospacing="0" w:after="0" w:afterAutospacing="0"/>
        <w:jc w:val="both"/>
        <w:textAlignment w:val="baseline"/>
        <w:rPr>
          <w:rFonts w:ascii="Work Sans" w:hAnsi="Work Sans"/>
          <w:b/>
          <w:i/>
          <w:color w:val="000000"/>
          <w:shd w:val="clear" w:color="auto" w:fill="FFFFFF"/>
        </w:rPr>
      </w:pPr>
      <w:r w:rsidRPr="00022303">
        <w:rPr>
          <w:rFonts w:ascii="Work Sans" w:hAnsi="Work Sans"/>
          <w:b/>
          <w:i/>
          <w:color w:val="000000"/>
          <w:shd w:val="clear" w:color="auto" w:fill="FFFFFF"/>
        </w:rPr>
        <w:t xml:space="preserve">Spese per prestazioni di lavoro delle imprese </w:t>
      </w:r>
    </w:p>
    <w:p w14:paraId="64270BEB" w14:textId="2F421EEC" w:rsidR="002B5D0A" w:rsidRPr="00CE6BDA" w:rsidRDefault="00022303" w:rsidP="00FB726A">
      <w:pPr>
        <w:pStyle w:val="NormaleWeb"/>
        <w:shd w:val="clear" w:color="auto" w:fill="FFFFFF"/>
        <w:spacing w:before="0" w:beforeAutospacing="0" w:after="0" w:afterAutospacing="0"/>
        <w:jc w:val="both"/>
        <w:textAlignment w:val="baseline"/>
        <w:rPr>
          <w:rFonts w:ascii="Work Sans" w:hAnsi="Work Sans"/>
          <w:i/>
          <w:color w:val="000000"/>
          <w:shd w:val="clear" w:color="auto" w:fill="FFFFFF"/>
        </w:rPr>
      </w:pPr>
      <w:r>
        <w:rPr>
          <w:rFonts w:ascii="Work Sans" w:hAnsi="Work Sans"/>
          <w:i/>
          <w:color w:val="000000"/>
          <w:shd w:val="clear" w:color="auto" w:fill="FFFFFF"/>
        </w:rPr>
        <w:t>I</w:t>
      </w:r>
      <w:r w:rsidR="002B5D0A" w:rsidRPr="00CE6BDA">
        <w:rPr>
          <w:rFonts w:ascii="Work Sans" w:hAnsi="Work Sans"/>
          <w:i/>
          <w:color w:val="000000"/>
          <w:shd w:val="clear" w:color="auto" w:fill="FFFFFF"/>
        </w:rPr>
        <w:t>l legislatore è intervenuto anche sull’articolo 95 del TUIR, che disciplina le spese per prestazioni di lavoro delle imprese. La deducibilità di tali costi sarà subordinata all’utilizzo di metodi di pagamento tracciabili, rendendo indispensabile un controllo accurato della documentazione fornita dai lavoratori.</w:t>
      </w:r>
    </w:p>
    <w:p w14:paraId="490120C5" w14:textId="77777777" w:rsidR="002B5D0A" w:rsidRPr="00CE6BDA" w:rsidRDefault="002B5D0A" w:rsidP="00FB726A">
      <w:pPr>
        <w:pStyle w:val="NormaleWeb"/>
        <w:shd w:val="clear" w:color="auto" w:fill="FFFFFF"/>
        <w:spacing w:before="0" w:beforeAutospacing="0" w:after="0" w:afterAutospacing="0"/>
        <w:jc w:val="both"/>
        <w:textAlignment w:val="baseline"/>
        <w:rPr>
          <w:rFonts w:ascii="Work Sans" w:hAnsi="Work Sans"/>
          <w:i/>
          <w:color w:val="000000"/>
          <w:shd w:val="clear" w:color="auto" w:fill="FFFFFF"/>
        </w:rPr>
      </w:pPr>
      <w:r w:rsidRPr="00CE6BDA">
        <w:rPr>
          <w:rFonts w:ascii="Work Sans" w:hAnsi="Work Sans"/>
          <w:i/>
          <w:color w:val="000000"/>
          <w:shd w:val="clear" w:color="auto" w:fill="FFFFFF"/>
        </w:rPr>
        <w:t>Alla luce di queste novità, le imprese saranno chiamate a implementare procedure di verifica rigorose sui giustificativi prodotti dai dipendenti e a fornire una formazione mirata a tutti i soggetti coinvolti. La corretta gestione dei pagamenti e della documentazione diventa dunque un elemento cruciale per garantire il rispetto delle nuove regole e contenere eventuali costi aggiuntivi.</w:t>
      </w:r>
    </w:p>
    <w:p w14:paraId="4B52FCB5" w14:textId="77777777" w:rsidR="002B5D0A" w:rsidRPr="00CE6BDA" w:rsidRDefault="002B5D0A" w:rsidP="00FB726A">
      <w:pPr>
        <w:pStyle w:val="NormaleWeb"/>
        <w:shd w:val="clear" w:color="auto" w:fill="FFFFFF"/>
        <w:spacing w:before="0" w:beforeAutospacing="0" w:after="0" w:afterAutospacing="0"/>
        <w:jc w:val="both"/>
        <w:textAlignment w:val="baseline"/>
        <w:rPr>
          <w:rFonts w:ascii="Work Sans" w:hAnsi="Work Sans"/>
          <w:i/>
          <w:color w:val="000000"/>
          <w:shd w:val="clear" w:color="auto" w:fill="FFFFFF"/>
        </w:rPr>
      </w:pPr>
      <w:r w:rsidRPr="00CE6BDA">
        <w:rPr>
          <w:rFonts w:ascii="Work Sans" w:hAnsi="Work Sans"/>
          <w:i/>
          <w:color w:val="000000"/>
          <w:shd w:val="clear" w:color="auto" w:fill="FFFFFF"/>
        </w:rPr>
        <w:t> </w:t>
      </w:r>
    </w:p>
    <w:p w14:paraId="49B58F1C" w14:textId="77777777" w:rsidR="002B5D0A" w:rsidRPr="00022303" w:rsidRDefault="002B5D0A" w:rsidP="00FB726A">
      <w:pPr>
        <w:pStyle w:val="NormaleWeb"/>
        <w:shd w:val="clear" w:color="auto" w:fill="FFFFFF"/>
        <w:spacing w:before="0" w:beforeAutospacing="0" w:after="0" w:afterAutospacing="0"/>
        <w:jc w:val="both"/>
        <w:textAlignment w:val="baseline"/>
        <w:rPr>
          <w:rFonts w:ascii="Work Sans" w:hAnsi="Work Sans"/>
          <w:b/>
          <w:i/>
          <w:color w:val="000000"/>
          <w:shd w:val="clear" w:color="auto" w:fill="FFFFFF"/>
        </w:rPr>
      </w:pPr>
      <w:r w:rsidRPr="00022303">
        <w:rPr>
          <w:rFonts w:ascii="Work Sans" w:hAnsi="Work Sans"/>
          <w:b/>
          <w:i/>
          <w:iCs/>
          <w:color w:val="000000"/>
          <w:shd w:val="clear" w:color="auto" w:fill="FFFFFF"/>
        </w:rPr>
        <w:t>Spese di rappresentanza</w:t>
      </w:r>
    </w:p>
    <w:p w14:paraId="553FF977" w14:textId="7261A772" w:rsidR="002B5D0A" w:rsidRPr="00CE6BDA" w:rsidRDefault="002B5D0A" w:rsidP="00FB726A">
      <w:pPr>
        <w:pStyle w:val="NormaleWeb"/>
        <w:shd w:val="clear" w:color="auto" w:fill="FFFFFF"/>
        <w:spacing w:before="0" w:beforeAutospacing="0" w:after="0" w:afterAutospacing="0"/>
        <w:jc w:val="both"/>
        <w:textAlignment w:val="baseline"/>
        <w:rPr>
          <w:rFonts w:ascii="Work Sans" w:hAnsi="Work Sans"/>
          <w:i/>
          <w:color w:val="000000"/>
          <w:shd w:val="clear" w:color="auto" w:fill="FFFFFF"/>
        </w:rPr>
      </w:pPr>
      <w:r w:rsidRPr="00CE6BDA">
        <w:rPr>
          <w:rFonts w:ascii="Work Sans" w:hAnsi="Work Sans"/>
          <w:i/>
          <w:color w:val="000000"/>
          <w:shd w:val="clear" w:color="auto" w:fill="FFFFFF"/>
        </w:rPr>
        <w:t>Con l’obiettivo di contrastare comportamenti evasivi, la Legge di Bilancio 2025 introduce modifiche anche all’articolo 108 del TUIR, relativo alle spese di rappresentanza. Tali spese saranno deducibili dal reddito d’impresa esclusivamente se effettuate utilizzando strumenti di pagamento tracciabili. Resta invariato il requisito fondamentale per la deducibilità, ossia l’inerenza della spesa all’attività d’impresa.</w:t>
      </w:r>
    </w:p>
    <w:p w14:paraId="6DE0B7B4" w14:textId="77777777" w:rsidR="00FB726A" w:rsidRDefault="00FB726A" w:rsidP="00FB726A">
      <w:pPr>
        <w:pStyle w:val="NormaleWeb"/>
        <w:shd w:val="clear" w:color="auto" w:fill="FFFFFF"/>
        <w:spacing w:before="0" w:beforeAutospacing="0" w:after="0" w:afterAutospacing="0"/>
        <w:jc w:val="both"/>
        <w:textAlignment w:val="baseline"/>
        <w:rPr>
          <w:rFonts w:ascii="Helvetica" w:hAnsi="Helvetica"/>
          <w:color w:val="7C6853"/>
          <w:shd w:val="clear" w:color="auto" w:fill="FFFFFF"/>
        </w:rPr>
      </w:pPr>
    </w:p>
    <w:p w14:paraId="29BE19D5" w14:textId="0AF39F95" w:rsidR="006A5AFA" w:rsidRPr="00CE6BDA" w:rsidRDefault="00CE6BDA" w:rsidP="00CE6BDA">
      <w:pPr>
        <w:jc w:val="both"/>
        <w:rPr>
          <w:rFonts w:ascii="Book Antiqua" w:hAnsi="Book Antiqua"/>
          <w:b/>
        </w:rPr>
      </w:pPr>
      <w:r w:rsidRPr="00CE6BDA">
        <w:rPr>
          <w:rFonts w:ascii="Work Sans" w:hAnsi="Work Sans"/>
          <w:b/>
          <w:color w:val="000000"/>
          <w:shd w:val="clear" w:color="auto" w:fill="FFFFFF"/>
        </w:rPr>
        <w:t xml:space="preserve">Nell’elenco delle spese che devono essere pagate in modo tracciabile non rientrano, ovviamente, i costi chilometrici chiesti a rimborso </w:t>
      </w:r>
      <w:r w:rsidRPr="00756490">
        <w:rPr>
          <w:rFonts w:ascii="Work Sans" w:hAnsi="Work Sans"/>
          <w:b/>
          <w:color w:val="000000"/>
          <w:u w:val="single"/>
          <w:shd w:val="clear" w:color="auto" w:fill="FFFFFF"/>
        </w:rPr>
        <w:t>dai dipendenti</w:t>
      </w:r>
      <w:r w:rsidRPr="00CE6BDA">
        <w:rPr>
          <w:b/>
          <w:sz w:val="22"/>
          <w:szCs w:val="22"/>
        </w:rPr>
        <w:t>.</w:t>
      </w:r>
    </w:p>
    <w:p w14:paraId="7098854E" w14:textId="77777777" w:rsidR="00022303" w:rsidRDefault="00022303" w:rsidP="003E314C">
      <w:pPr>
        <w:jc w:val="both"/>
        <w:rPr>
          <w:rFonts w:ascii="Book Antiqua" w:hAnsi="Book Antiqua"/>
          <w:sz w:val="28"/>
          <w:szCs w:val="28"/>
        </w:rPr>
      </w:pPr>
    </w:p>
    <w:p w14:paraId="677D22F7" w14:textId="16A91BB4" w:rsidR="00CE6BDA" w:rsidRDefault="008855B4" w:rsidP="003E314C">
      <w:pPr>
        <w:jc w:val="both"/>
        <w:rPr>
          <w:rFonts w:ascii="Book Antiqua" w:hAnsi="Book Antiqua"/>
          <w:sz w:val="28"/>
          <w:szCs w:val="28"/>
        </w:rPr>
      </w:pPr>
      <w:r w:rsidRPr="00C06732">
        <w:rPr>
          <w:rFonts w:ascii="Book Antiqua" w:hAnsi="Book Antiqua"/>
          <w:sz w:val="28"/>
          <w:szCs w:val="28"/>
        </w:rPr>
        <w:tab/>
      </w:r>
      <w:r w:rsidRPr="00C06732">
        <w:rPr>
          <w:rFonts w:ascii="Book Antiqua" w:hAnsi="Book Antiqua"/>
          <w:sz w:val="28"/>
          <w:szCs w:val="28"/>
        </w:rPr>
        <w:tab/>
      </w:r>
      <w:r w:rsidRPr="00C06732">
        <w:rPr>
          <w:rFonts w:ascii="Book Antiqua" w:hAnsi="Book Antiqua"/>
          <w:sz w:val="28"/>
          <w:szCs w:val="28"/>
        </w:rPr>
        <w:tab/>
      </w:r>
      <w:r w:rsidRPr="00C06732">
        <w:rPr>
          <w:rFonts w:ascii="Book Antiqua" w:hAnsi="Book Antiqua"/>
          <w:sz w:val="28"/>
          <w:szCs w:val="28"/>
        </w:rPr>
        <w:tab/>
      </w:r>
      <w:r w:rsidR="003E314C">
        <w:rPr>
          <w:rFonts w:ascii="Book Antiqua" w:hAnsi="Book Antiqua"/>
          <w:sz w:val="28"/>
          <w:szCs w:val="28"/>
        </w:rPr>
        <w:tab/>
      </w:r>
    </w:p>
    <w:p w14:paraId="639B5B8B" w14:textId="4A536CB2" w:rsidR="008855B4" w:rsidRPr="00C06732" w:rsidRDefault="00CE6BDA" w:rsidP="003E314C">
      <w:pPr>
        <w:jc w:val="both"/>
        <w:rPr>
          <w:rFonts w:ascii="Book Antiqua" w:hAnsi="Book Antiqua"/>
          <w:b/>
        </w:rPr>
      </w:pPr>
      <w:r>
        <w:rPr>
          <w:rFonts w:ascii="Book Antiqua" w:hAnsi="Book Antiqua"/>
          <w:sz w:val="28"/>
          <w:szCs w:val="28"/>
        </w:rPr>
        <w:tab/>
      </w:r>
      <w:r>
        <w:rPr>
          <w:rFonts w:ascii="Book Antiqua" w:hAnsi="Book Antiqua"/>
          <w:sz w:val="28"/>
          <w:szCs w:val="28"/>
        </w:rPr>
        <w:tab/>
      </w:r>
      <w:r>
        <w:rPr>
          <w:rFonts w:ascii="Book Antiqua" w:hAnsi="Book Antiqua"/>
          <w:sz w:val="28"/>
          <w:szCs w:val="28"/>
        </w:rPr>
        <w:tab/>
      </w:r>
      <w:r>
        <w:rPr>
          <w:rFonts w:ascii="Book Antiqua" w:hAnsi="Book Antiqua"/>
          <w:sz w:val="28"/>
          <w:szCs w:val="28"/>
        </w:rPr>
        <w:tab/>
      </w:r>
      <w:r>
        <w:rPr>
          <w:rFonts w:ascii="Book Antiqua" w:hAnsi="Book Antiqua"/>
          <w:sz w:val="28"/>
          <w:szCs w:val="28"/>
        </w:rPr>
        <w:tab/>
      </w:r>
      <w:r w:rsidR="003E314C">
        <w:rPr>
          <w:rFonts w:ascii="Book Antiqua" w:hAnsi="Book Antiqua"/>
          <w:sz w:val="28"/>
          <w:szCs w:val="28"/>
        </w:rPr>
        <w:tab/>
        <w:t xml:space="preserve">     </w:t>
      </w:r>
      <w:r w:rsidR="008855B4" w:rsidRPr="00C06732">
        <w:rPr>
          <w:rFonts w:ascii="Book Antiqua" w:hAnsi="Book Antiqua"/>
        </w:rPr>
        <w:t xml:space="preserve">   </w:t>
      </w:r>
      <w:r w:rsidR="00107FC1">
        <w:rPr>
          <w:rFonts w:ascii="Book Antiqua" w:hAnsi="Book Antiqua"/>
        </w:rPr>
        <w:t xml:space="preserve"> </w:t>
      </w:r>
      <w:r w:rsidR="008855B4" w:rsidRPr="00C06732">
        <w:rPr>
          <w:rFonts w:ascii="Book Antiqua" w:hAnsi="Book Antiqua"/>
          <w:b/>
        </w:rPr>
        <w:t xml:space="preserve">Il </w:t>
      </w:r>
      <w:r w:rsidR="00C06732">
        <w:rPr>
          <w:rFonts w:ascii="Book Antiqua" w:hAnsi="Book Antiqua"/>
          <w:b/>
        </w:rPr>
        <w:t xml:space="preserve">Direttore </w:t>
      </w:r>
      <w:r w:rsidR="003E314C">
        <w:rPr>
          <w:rFonts w:ascii="Book Antiqua" w:hAnsi="Book Antiqua"/>
          <w:b/>
        </w:rPr>
        <w:t>Generale</w:t>
      </w:r>
    </w:p>
    <w:p w14:paraId="5A13C56D" w14:textId="77777777" w:rsidR="008855B4" w:rsidRDefault="008855B4" w:rsidP="008855B4">
      <w:pPr>
        <w:ind w:left="2832" w:firstLine="708"/>
        <w:jc w:val="both"/>
        <w:rPr>
          <w:rFonts w:ascii="Book Antiqua" w:hAnsi="Book Antiqua"/>
          <w:b/>
        </w:rPr>
      </w:pPr>
      <w:r w:rsidRPr="00C06732">
        <w:rPr>
          <w:rFonts w:ascii="Book Antiqua" w:hAnsi="Book Antiqua"/>
          <w:b/>
        </w:rPr>
        <w:tab/>
      </w:r>
      <w:r w:rsidR="00C06732">
        <w:rPr>
          <w:rFonts w:ascii="Book Antiqua" w:hAnsi="Book Antiqua"/>
          <w:b/>
        </w:rPr>
        <w:t xml:space="preserve">  </w:t>
      </w:r>
      <w:r w:rsidRPr="00C06732">
        <w:rPr>
          <w:rFonts w:ascii="Book Antiqua" w:hAnsi="Book Antiqua"/>
          <w:b/>
        </w:rPr>
        <w:t xml:space="preserve">   </w:t>
      </w:r>
      <w:r w:rsidR="003E314C">
        <w:rPr>
          <w:rFonts w:ascii="Book Antiqua" w:hAnsi="Book Antiqua"/>
          <w:b/>
        </w:rPr>
        <w:t>Dott. Antonio GRAZIANO</w:t>
      </w:r>
    </w:p>
    <w:p w14:paraId="4389CFF2" w14:textId="77777777" w:rsidR="004B030B" w:rsidRPr="00C06732" w:rsidRDefault="004B030B" w:rsidP="008855B4">
      <w:pPr>
        <w:ind w:left="2832" w:firstLine="708"/>
        <w:jc w:val="both"/>
        <w:rPr>
          <w:rFonts w:ascii="Book Antiqua" w:hAnsi="Book Antiqua"/>
          <w:b/>
        </w:rPr>
      </w:pPr>
      <w:r>
        <w:rPr>
          <w:rFonts w:ascii="Book Antiqua" w:hAnsi="Book Antiqua"/>
          <w:b/>
        </w:rPr>
        <w:t xml:space="preserve">   (In sostituzione Il Direttore Amministrativo)</w:t>
      </w:r>
    </w:p>
    <w:p w14:paraId="18FB5F97" w14:textId="77777777" w:rsidR="008855B4" w:rsidRPr="00C06732" w:rsidRDefault="008855B4" w:rsidP="001D03BC">
      <w:pPr>
        <w:jc w:val="both"/>
        <w:rPr>
          <w:rFonts w:ascii="Book Antiqua" w:hAnsi="Book Antiqua"/>
          <w:b/>
        </w:rPr>
      </w:pPr>
      <w:r w:rsidRPr="00C06732">
        <w:rPr>
          <w:rFonts w:ascii="Book Antiqua" w:hAnsi="Book Antiqua"/>
          <w:b/>
        </w:rPr>
        <w:tab/>
      </w:r>
      <w:r w:rsidRPr="00C06732">
        <w:rPr>
          <w:rFonts w:ascii="Book Antiqua" w:hAnsi="Book Antiqua"/>
          <w:b/>
        </w:rPr>
        <w:tab/>
      </w:r>
      <w:r w:rsidRPr="00C06732">
        <w:rPr>
          <w:rFonts w:ascii="Book Antiqua" w:hAnsi="Book Antiqua"/>
          <w:b/>
        </w:rPr>
        <w:tab/>
      </w:r>
      <w:r w:rsidRPr="00C06732">
        <w:rPr>
          <w:rFonts w:ascii="Book Antiqua" w:hAnsi="Book Antiqua"/>
          <w:b/>
        </w:rPr>
        <w:tab/>
      </w:r>
      <w:r w:rsidRPr="00C06732">
        <w:rPr>
          <w:rFonts w:ascii="Book Antiqua" w:hAnsi="Book Antiqua"/>
          <w:b/>
        </w:rPr>
        <w:tab/>
      </w:r>
      <w:r w:rsidR="004B030B">
        <w:rPr>
          <w:rFonts w:ascii="Book Antiqua" w:hAnsi="Book Antiqua"/>
          <w:b/>
        </w:rPr>
        <w:tab/>
      </w:r>
      <w:r w:rsidR="004B030B">
        <w:rPr>
          <w:rFonts w:ascii="Book Antiqua" w:hAnsi="Book Antiqua"/>
          <w:b/>
        </w:rPr>
        <w:tab/>
        <w:t xml:space="preserve">   (F I R M A T O) </w:t>
      </w:r>
    </w:p>
    <w:sectPr w:rsidR="008855B4" w:rsidRPr="00C06732" w:rsidSect="00EF752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ork Sans">
    <w:altName w:val="Times New Roman"/>
    <w:charset w:val="00"/>
    <w:family w:val="auto"/>
    <w:pitch w:val="variable"/>
    <w:sig w:usb0="A00000FF" w:usb1="5000E07B" w:usb2="00000000" w:usb3="00000000" w:csb0="00000193"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81499"/>
    <w:multiLevelType w:val="hybridMultilevel"/>
    <w:tmpl w:val="A752787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 w15:restartNumberingAfterBreak="0">
    <w:nsid w:val="2C5D26A7"/>
    <w:multiLevelType w:val="hybridMultilevel"/>
    <w:tmpl w:val="D930BEAC"/>
    <w:lvl w:ilvl="0" w:tplc="4F7A814C">
      <w:numFmt w:val="bullet"/>
      <w:lvlText w:val="-"/>
      <w:lvlJc w:val="left"/>
      <w:pPr>
        <w:ind w:left="1210" w:hanging="360"/>
      </w:pPr>
      <w:rPr>
        <w:rFonts w:ascii="Book Antiqua" w:eastAsia="Times New Roman" w:hAnsi="Book Antiqua" w:cs="Times New Roman" w:hint="default"/>
      </w:rPr>
    </w:lvl>
    <w:lvl w:ilvl="1" w:tplc="04100003" w:tentative="1">
      <w:start w:val="1"/>
      <w:numFmt w:val="bullet"/>
      <w:lvlText w:val="o"/>
      <w:lvlJc w:val="left"/>
      <w:pPr>
        <w:ind w:left="1930" w:hanging="360"/>
      </w:pPr>
      <w:rPr>
        <w:rFonts w:ascii="Courier New" w:hAnsi="Courier New" w:cs="Courier New" w:hint="default"/>
      </w:rPr>
    </w:lvl>
    <w:lvl w:ilvl="2" w:tplc="04100005" w:tentative="1">
      <w:start w:val="1"/>
      <w:numFmt w:val="bullet"/>
      <w:lvlText w:val=""/>
      <w:lvlJc w:val="left"/>
      <w:pPr>
        <w:ind w:left="2650" w:hanging="360"/>
      </w:pPr>
      <w:rPr>
        <w:rFonts w:ascii="Wingdings" w:hAnsi="Wingdings" w:hint="default"/>
      </w:rPr>
    </w:lvl>
    <w:lvl w:ilvl="3" w:tplc="04100001" w:tentative="1">
      <w:start w:val="1"/>
      <w:numFmt w:val="bullet"/>
      <w:lvlText w:val=""/>
      <w:lvlJc w:val="left"/>
      <w:pPr>
        <w:ind w:left="3370" w:hanging="360"/>
      </w:pPr>
      <w:rPr>
        <w:rFonts w:ascii="Symbol" w:hAnsi="Symbol" w:hint="default"/>
      </w:rPr>
    </w:lvl>
    <w:lvl w:ilvl="4" w:tplc="04100003" w:tentative="1">
      <w:start w:val="1"/>
      <w:numFmt w:val="bullet"/>
      <w:lvlText w:val="o"/>
      <w:lvlJc w:val="left"/>
      <w:pPr>
        <w:ind w:left="4090" w:hanging="360"/>
      </w:pPr>
      <w:rPr>
        <w:rFonts w:ascii="Courier New" w:hAnsi="Courier New" w:cs="Courier New" w:hint="default"/>
      </w:rPr>
    </w:lvl>
    <w:lvl w:ilvl="5" w:tplc="04100005" w:tentative="1">
      <w:start w:val="1"/>
      <w:numFmt w:val="bullet"/>
      <w:lvlText w:val=""/>
      <w:lvlJc w:val="left"/>
      <w:pPr>
        <w:ind w:left="4810" w:hanging="360"/>
      </w:pPr>
      <w:rPr>
        <w:rFonts w:ascii="Wingdings" w:hAnsi="Wingdings" w:hint="default"/>
      </w:rPr>
    </w:lvl>
    <w:lvl w:ilvl="6" w:tplc="04100001" w:tentative="1">
      <w:start w:val="1"/>
      <w:numFmt w:val="bullet"/>
      <w:lvlText w:val=""/>
      <w:lvlJc w:val="left"/>
      <w:pPr>
        <w:ind w:left="5530" w:hanging="360"/>
      </w:pPr>
      <w:rPr>
        <w:rFonts w:ascii="Symbol" w:hAnsi="Symbol" w:hint="default"/>
      </w:rPr>
    </w:lvl>
    <w:lvl w:ilvl="7" w:tplc="04100003" w:tentative="1">
      <w:start w:val="1"/>
      <w:numFmt w:val="bullet"/>
      <w:lvlText w:val="o"/>
      <w:lvlJc w:val="left"/>
      <w:pPr>
        <w:ind w:left="6250" w:hanging="360"/>
      </w:pPr>
      <w:rPr>
        <w:rFonts w:ascii="Courier New" w:hAnsi="Courier New" w:cs="Courier New" w:hint="default"/>
      </w:rPr>
    </w:lvl>
    <w:lvl w:ilvl="8" w:tplc="04100005" w:tentative="1">
      <w:start w:val="1"/>
      <w:numFmt w:val="bullet"/>
      <w:lvlText w:val=""/>
      <w:lvlJc w:val="left"/>
      <w:pPr>
        <w:ind w:left="6970" w:hanging="360"/>
      </w:pPr>
      <w:rPr>
        <w:rFonts w:ascii="Wingdings" w:hAnsi="Wingdings" w:hint="default"/>
      </w:rPr>
    </w:lvl>
  </w:abstractNum>
  <w:abstractNum w:abstractNumId="2" w15:restartNumberingAfterBreak="0">
    <w:nsid w:val="36AE615F"/>
    <w:multiLevelType w:val="hybridMultilevel"/>
    <w:tmpl w:val="493E2BAE"/>
    <w:lvl w:ilvl="0" w:tplc="9F6A2A76">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7C834ED"/>
    <w:multiLevelType w:val="hybridMultilevel"/>
    <w:tmpl w:val="71682102"/>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0">
    <w:nsid w:val="47C47086"/>
    <w:multiLevelType w:val="hybridMultilevel"/>
    <w:tmpl w:val="0AAA5C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9421C7B"/>
    <w:multiLevelType w:val="hybridMultilevel"/>
    <w:tmpl w:val="ED16EFFA"/>
    <w:lvl w:ilvl="0" w:tplc="ED5A250E">
      <w:numFmt w:val="bullet"/>
      <w:lvlText w:val="-"/>
      <w:lvlJc w:val="left"/>
      <w:pPr>
        <w:ind w:left="1210" w:hanging="360"/>
      </w:pPr>
      <w:rPr>
        <w:rFonts w:ascii="Book Antiqua" w:eastAsia="Times New Roman" w:hAnsi="Book Antiqua" w:cs="Times New Roman" w:hint="default"/>
      </w:rPr>
    </w:lvl>
    <w:lvl w:ilvl="1" w:tplc="04100003" w:tentative="1">
      <w:start w:val="1"/>
      <w:numFmt w:val="bullet"/>
      <w:lvlText w:val="o"/>
      <w:lvlJc w:val="left"/>
      <w:pPr>
        <w:ind w:left="1930" w:hanging="360"/>
      </w:pPr>
      <w:rPr>
        <w:rFonts w:ascii="Courier New" w:hAnsi="Courier New" w:cs="Courier New" w:hint="default"/>
      </w:rPr>
    </w:lvl>
    <w:lvl w:ilvl="2" w:tplc="04100005" w:tentative="1">
      <w:start w:val="1"/>
      <w:numFmt w:val="bullet"/>
      <w:lvlText w:val=""/>
      <w:lvlJc w:val="left"/>
      <w:pPr>
        <w:ind w:left="2650" w:hanging="360"/>
      </w:pPr>
      <w:rPr>
        <w:rFonts w:ascii="Wingdings" w:hAnsi="Wingdings" w:hint="default"/>
      </w:rPr>
    </w:lvl>
    <w:lvl w:ilvl="3" w:tplc="04100001" w:tentative="1">
      <w:start w:val="1"/>
      <w:numFmt w:val="bullet"/>
      <w:lvlText w:val=""/>
      <w:lvlJc w:val="left"/>
      <w:pPr>
        <w:ind w:left="3370" w:hanging="360"/>
      </w:pPr>
      <w:rPr>
        <w:rFonts w:ascii="Symbol" w:hAnsi="Symbol" w:hint="default"/>
      </w:rPr>
    </w:lvl>
    <w:lvl w:ilvl="4" w:tplc="04100003" w:tentative="1">
      <w:start w:val="1"/>
      <w:numFmt w:val="bullet"/>
      <w:lvlText w:val="o"/>
      <w:lvlJc w:val="left"/>
      <w:pPr>
        <w:ind w:left="4090" w:hanging="360"/>
      </w:pPr>
      <w:rPr>
        <w:rFonts w:ascii="Courier New" w:hAnsi="Courier New" w:cs="Courier New" w:hint="default"/>
      </w:rPr>
    </w:lvl>
    <w:lvl w:ilvl="5" w:tplc="04100005" w:tentative="1">
      <w:start w:val="1"/>
      <w:numFmt w:val="bullet"/>
      <w:lvlText w:val=""/>
      <w:lvlJc w:val="left"/>
      <w:pPr>
        <w:ind w:left="4810" w:hanging="360"/>
      </w:pPr>
      <w:rPr>
        <w:rFonts w:ascii="Wingdings" w:hAnsi="Wingdings" w:hint="default"/>
      </w:rPr>
    </w:lvl>
    <w:lvl w:ilvl="6" w:tplc="04100001" w:tentative="1">
      <w:start w:val="1"/>
      <w:numFmt w:val="bullet"/>
      <w:lvlText w:val=""/>
      <w:lvlJc w:val="left"/>
      <w:pPr>
        <w:ind w:left="5530" w:hanging="360"/>
      </w:pPr>
      <w:rPr>
        <w:rFonts w:ascii="Symbol" w:hAnsi="Symbol" w:hint="default"/>
      </w:rPr>
    </w:lvl>
    <w:lvl w:ilvl="7" w:tplc="04100003" w:tentative="1">
      <w:start w:val="1"/>
      <w:numFmt w:val="bullet"/>
      <w:lvlText w:val="o"/>
      <w:lvlJc w:val="left"/>
      <w:pPr>
        <w:ind w:left="6250" w:hanging="360"/>
      </w:pPr>
      <w:rPr>
        <w:rFonts w:ascii="Courier New" w:hAnsi="Courier New" w:cs="Courier New" w:hint="default"/>
      </w:rPr>
    </w:lvl>
    <w:lvl w:ilvl="8" w:tplc="04100005" w:tentative="1">
      <w:start w:val="1"/>
      <w:numFmt w:val="bullet"/>
      <w:lvlText w:val=""/>
      <w:lvlJc w:val="left"/>
      <w:pPr>
        <w:ind w:left="6970" w:hanging="360"/>
      </w:pPr>
      <w:rPr>
        <w:rFonts w:ascii="Wingdings" w:hAnsi="Wingdings" w:hint="default"/>
      </w:rPr>
    </w:lvl>
  </w:abstractNum>
  <w:abstractNum w:abstractNumId="6" w15:restartNumberingAfterBreak="0">
    <w:nsid w:val="6E4F2BB7"/>
    <w:multiLevelType w:val="hybridMultilevel"/>
    <w:tmpl w:val="A198C4AE"/>
    <w:lvl w:ilvl="0" w:tplc="D8A00AD4">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7C502A7"/>
    <w:multiLevelType w:val="hybridMultilevel"/>
    <w:tmpl w:val="DD244F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0"/>
  </w:num>
  <w:num w:numId="5">
    <w:abstractNumId w:val="1"/>
  </w:num>
  <w:num w:numId="6">
    <w:abstractNumId w:val="4"/>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314"/>
    <w:rsid w:val="000051E5"/>
    <w:rsid w:val="000102F1"/>
    <w:rsid w:val="00022303"/>
    <w:rsid w:val="00030AC9"/>
    <w:rsid w:val="000317DA"/>
    <w:rsid w:val="00037401"/>
    <w:rsid w:val="000846CA"/>
    <w:rsid w:val="000C2449"/>
    <w:rsid w:val="000F36FC"/>
    <w:rsid w:val="000F4D68"/>
    <w:rsid w:val="0010388F"/>
    <w:rsid w:val="00107FC1"/>
    <w:rsid w:val="001126CE"/>
    <w:rsid w:val="001203A7"/>
    <w:rsid w:val="0012113D"/>
    <w:rsid w:val="00140155"/>
    <w:rsid w:val="00155925"/>
    <w:rsid w:val="00160FA2"/>
    <w:rsid w:val="0016291E"/>
    <w:rsid w:val="00186B06"/>
    <w:rsid w:val="00194164"/>
    <w:rsid w:val="001A7916"/>
    <w:rsid w:val="001C180D"/>
    <w:rsid w:val="001D03BC"/>
    <w:rsid w:val="001D0D7F"/>
    <w:rsid w:val="001E5B58"/>
    <w:rsid w:val="00210A0E"/>
    <w:rsid w:val="0023480E"/>
    <w:rsid w:val="0024762B"/>
    <w:rsid w:val="0026247C"/>
    <w:rsid w:val="002773C7"/>
    <w:rsid w:val="002B5D0A"/>
    <w:rsid w:val="002B6A8A"/>
    <w:rsid w:val="002B6B26"/>
    <w:rsid w:val="002C3CDE"/>
    <w:rsid w:val="002C5793"/>
    <w:rsid w:val="002D3D15"/>
    <w:rsid w:val="002F7A7B"/>
    <w:rsid w:val="00314C6F"/>
    <w:rsid w:val="00322757"/>
    <w:rsid w:val="003263CB"/>
    <w:rsid w:val="00341ED7"/>
    <w:rsid w:val="003421EE"/>
    <w:rsid w:val="00350DD5"/>
    <w:rsid w:val="00366113"/>
    <w:rsid w:val="003720C9"/>
    <w:rsid w:val="003C1F78"/>
    <w:rsid w:val="003D66C6"/>
    <w:rsid w:val="003E0EE4"/>
    <w:rsid w:val="003E1F11"/>
    <w:rsid w:val="003E314C"/>
    <w:rsid w:val="003E7018"/>
    <w:rsid w:val="00403E9E"/>
    <w:rsid w:val="0041332B"/>
    <w:rsid w:val="00430B1D"/>
    <w:rsid w:val="00463B40"/>
    <w:rsid w:val="00463D46"/>
    <w:rsid w:val="004A6108"/>
    <w:rsid w:val="004B030B"/>
    <w:rsid w:val="004B4C2E"/>
    <w:rsid w:val="004C44E8"/>
    <w:rsid w:val="004C4EE4"/>
    <w:rsid w:val="004D5CAF"/>
    <w:rsid w:val="004E0F4F"/>
    <w:rsid w:val="004F2E6D"/>
    <w:rsid w:val="004F4BED"/>
    <w:rsid w:val="004F55BB"/>
    <w:rsid w:val="0050318D"/>
    <w:rsid w:val="0052080D"/>
    <w:rsid w:val="0053796D"/>
    <w:rsid w:val="0054387A"/>
    <w:rsid w:val="00550A34"/>
    <w:rsid w:val="00591B91"/>
    <w:rsid w:val="005A307C"/>
    <w:rsid w:val="005A5267"/>
    <w:rsid w:val="005B2367"/>
    <w:rsid w:val="005C3F20"/>
    <w:rsid w:val="005D39A9"/>
    <w:rsid w:val="005D7507"/>
    <w:rsid w:val="005D7EB8"/>
    <w:rsid w:val="006066CB"/>
    <w:rsid w:val="00607108"/>
    <w:rsid w:val="006116B2"/>
    <w:rsid w:val="0063535B"/>
    <w:rsid w:val="006375B4"/>
    <w:rsid w:val="00660A7B"/>
    <w:rsid w:val="006746D1"/>
    <w:rsid w:val="006909C2"/>
    <w:rsid w:val="00694037"/>
    <w:rsid w:val="0069691E"/>
    <w:rsid w:val="006A44F5"/>
    <w:rsid w:val="006A5AFA"/>
    <w:rsid w:val="006C13B9"/>
    <w:rsid w:val="006D49D3"/>
    <w:rsid w:val="006D73E2"/>
    <w:rsid w:val="006E5B75"/>
    <w:rsid w:val="00700C43"/>
    <w:rsid w:val="00701532"/>
    <w:rsid w:val="00710DBD"/>
    <w:rsid w:val="00731175"/>
    <w:rsid w:val="00756490"/>
    <w:rsid w:val="0075668A"/>
    <w:rsid w:val="00777BAA"/>
    <w:rsid w:val="007801BF"/>
    <w:rsid w:val="007845A7"/>
    <w:rsid w:val="00797C11"/>
    <w:rsid w:val="007A1874"/>
    <w:rsid w:val="007A2488"/>
    <w:rsid w:val="007B0DEB"/>
    <w:rsid w:val="007D5AB1"/>
    <w:rsid w:val="007F0C35"/>
    <w:rsid w:val="007F1F73"/>
    <w:rsid w:val="008058FA"/>
    <w:rsid w:val="008157A7"/>
    <w:rsid w:val="00816301"/>
    <w:rsid w:val="00816F56"/>
    <w:rsid w:val="0085029F"/>
    <w:rsid w:val="00852476"/>
    <w:rsid w:val="00856A5A"/>
    <w:rsid w:val="008608E1"/>
    <w:rsid w:val="008703B7"/>
    <w:rsid w:val="008806FB"/>
    <w:rsid w:val="008855B4"/>
    <w:rsid w:val="00897F67"/>
    <w:rsid w:val="008C53F9"/>
    <w:rsid w:val="008F677F"/>
    <w:rsid w:val="00965C25"/>
    <w:rsid w:val="00983C72"/>
    <w:rsid w:val="009B138E"/>
    <w:rsid w:val="009B2CC0"/>
    <w:rsid w:val="009D6251"/>
    <w:rsid w:val="009D7DAE"/>
    <w:rsid w:val="009E163C"/>
    <w:rsid w:val="009E20C5"/>
    <w:rsid w:val="00A051AE"/>
    <w:rsid w:val="00A17A41"/>
    <w:rsid w:val="00A23633"/>
    <w:rsid w:val="00A406AE"/>
    <w:rsid w:val="00A6203D"/>
    <w:rsid w:val="00A73616"/>
    <w:rsid w:val="00A8296F"/>
    <w:rsid w:val="00AA14E7"/>
    <w:rsid w:val="00AB01D4"/>
    <w:rsid w:val="00AB7C13"/>
    <w:rsid w:val="00AC2899"/>
    <w:rsid w:val="00AE08AF"/>
    <w:rsid w:val="00AF0B5A"/>
    <w:rsid w:val="00AF2366"/>
    <w:rsid w:val="00AF57E8"/>
    <w:rsid w:val="00B40508"/>
    <w:rsid w:val="00B50E4E"/>
    <w:rsid w:val="00B70E58"/>
    <w:rsid w:val="00B7260A"/>
    <w:rsid w:val="00B9161A"/>
    <w:rsid w:val="00B94293"/>
    <w:rsid w:val="00BD3EAC"/>
    <w:rsid w:val="00C03314"/>
    <w:rsid w:val="00C06732"/>
    <w:rsid w:val="00C43FAF"/>
    <w:rsid w:val="00C472F1"/>
    <w:rsid w:val="00C65C0B"/>
    <w:rsid w:val="00C94A58"/>
    <w:rsid w:val="00CA2C29"/>
    <w:rsid w:val="00CA4E49"/>
    <w:rsid w:val="00CB1AC5"/>
    <w:rsid w:val="00CB423F"/>
    <w:rsid w:val="00CE6BDA"/>
    <w:rsid w:val="00D1224F"/>
    <w:rsid w:val="00D12B44"/>
    <w:rsid w:val="00D145F0"/>
    <w:rsid w:val="00D31780"/>
    <w:rsid w:val="00D40AB2"/>
    <w:rsid w:val="00D47456"/>
    <w:rsid w:val="00D55218"/>
    <w:rsid w:val="00D5737B"/>
    <w:rsid w:val="00D7418C"/>
    <w:rsid w:val="00D77256"/>
    <w:rsid w:val="00D814B6"/>
    <w:rsid w:val="00D847E6"/>
    <w:rsid w:val="00DA1505"/>
    <w:rsid w:val="00DB136B"/>
    <w:rsid w:val="00DB2B64"/>
    <w:rsid w:val="00DB345B"/>
    <w:rsid w:val="00DD5911"/>
    <w:rsid w:val="00DE0520"/>
    <w:rsid w:val="00DE496A"/>
    <w:rsid w:val="00DE6A05"/>
    <w:rsid w:val="00E0417F"/>
    <w:rsid w:val="00E06955"/>
    <w:rsid w:val="00E3312A"/>
    <w:rsid w:val="00E52FFE"/>
    <w:rsid w:val="00E54739"/>
    <w:rsid w:val="00E671FE"/>
    <w:rsid w:val="00E71F90"/>
    <w:rsid w:val="00E73072"/>
    <w:rsid w:val="00E74F25"/>
    <w:rsid w:val="00E80515"/>
    <w:rsid w:val="00E97D2A"/>
    <w:rsid w:val="00EC153B"/>
    <w:rsid w:val="00EF1FDA"/>
    <w:rsid w:val="00EF4001"/>
    <w:rsid w:val="00EF7524"/>
    <w:rsid w:val="00F01A72"/>
    <w:rsid w:val="00F46B1B"/>
    <w:rsid w:val="00F53FF8"/>
    <w:rsid w:val="00F65330"/>
    <w:rsid w:val="00F662CD"/>
    <w:rsid w:val="00F6767D"/>
    <w:rsid w:val="00FB726A"/>
    <w:rsid w:val="00FD0AD2"/>
    <w:rsid w:val="00FD1D34"/>
    <w:rsid w:val="00FD3DE2"/>
    <w:rsid w:val="00FE51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85632"/>
  <w15:docId w15:val="{17DF81C0-76FC-48DC-9CCD-53AEC6870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03314"/>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03314"/>
    <w:pPr>
      <w:ind w:left="720"/>
      <w:contextualSpacing/>
    </w:pPr>
  </w:style>
  <w:style w:type="character" w:styleId="Collegamentoipertestuale">
    <w:name w:val="Hyperlink"/>
    <w:basedOn w:val="Carpredefinitoparagrafo"/>
    <w:uiPriority w:val="99"/>
    <w:unhideWhenUsed/>
    <w:rsid w:val="00983C72"/>
    <w:rPr>
      <w:color w:val="0000FF" w:themeColor="hyperlink"/>
      <w:u w:val="single"/>
    </w:rPr>
  </w:style>
  <w:style w:type="paragraph" w:styleId="Testofumetto">
    <w:name w:val="Balloon Text"/>
    <w:basedOn w:val="Normale"/>
    <w:link w:val="TestofumettoCarattere"/>
    <w:uiPriority w:val="99"/>
    <w:semiHidden/>
    <w:unhideWhenUsed/>
    <w:rsid w:val="004F55B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F55BB"/>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E671FE"/>
    <w:pPr>
      <w:tabs>
        <w:tab w:val="center" w:pos="4819"/>
        <w:tab w:val="right" w:pos="9638"/>
      </w:tabs>
    </w:pPr>
    <w:rPr>
      <w:rFonts w:ascii="Calibri" w:eastAsia="Calibri" w:hAnsi="Calibri"/>
      <w:sz w:val="22"/>
      <w:szCs w:val="22"/>
      <w:lang w:eastAsia="en-US"/>
    </w:rPr>
  </w:style>
  <w:style w:type="character" w:customStyle="1" w:styleId="IntestazioneCarattere">
    <w:name w:val="Intestazione Carattere"/>
    <w:basedOn w:val="Carpredefinitoparagrafo"/>
    <w:link w:val="Intestazione"/>
    <w:uiPriority w:val="99"/>
    <w:rsid w:val="00E671FE"/>
    <w:rPr>
      <w:rFonts w:ascii="Calibri" w:eastAsia="Calibri" w:hAnsi="Calibri" w:cs="Times New Roman"/>
    </w:rPr>
  </w:style>
  <w:style w:type="paragraph" w:styleId="Nessunaspaziatura">
    <w:name w:val="No Spacing"/>
    <w:uiPriority w:val="1"/>
    <w:qFormat/>
    <w:rsid w:val="00816F56"/>
    <w:pPr>
      <w:spacing w:after="0" w:line="240" w:lineRule="auto"/>
    </w:pPr>
    <w:rPr>
      <w:rFonts w:ascii="Calibri" w:eastAsia="Calibri" w:hAnsi="Calibri" w:cs="Times New Roman"/>
    </w:rPr>
  </w:style>
  <w:style w:type="character" w:styleId="Enfasigrassetto">
    <w:name w:val="Strong"/>
    <w:basedOn w:val="Carpredefinitoparagrafo"/>
    <w:uiPriority w:val="22"/>
    <w:qFormat/>
    <w:rsid w:val="006A5AFA"/>
    <w:rPr>
      <w:b/>
      <w:bCs/>
    </w:rPr>
  </w:style>
  <w:style w:type="paragraph" w:styleId="NormaleWeb">
    <w:name w:val="Normal (Web)"/>
    <w:basedOn w:val="Normale"/>
    <w:uiPriority w:val="99"/>
    <w:semiHidden/>
    <w:unhideWhenUsed/>
    <w:rsid w:val="002B5D0A"/>
    <w:pPr>
      <w:spacing w:before="100" w:beforeAutospacing="1" w:after="100" w:afterAutospacing="1"/>
    </w:pPr>
  </w:style>
  <w:style w:type="character" w:styleId="Enfasicorsivo">
    <w:name w:val="Emphasis"/>
    <w:basedOn w:val="Carpredefinitoparagrafo"/>
    <w:uiPriority w:val="20"/>
    <w:qFormat/>
    <w:rsid w:val="002B5D0A"/>
    <w:rPr>
      <w:i/>
      <w:iCs/>
    </w:rPr>
  </w:style>
  <w:style w:type="paragraph" w:customStyle="1" w:styleId="Default">
    <w:name w:val="Default"/>
    <w:rsid w:val="00CE6BD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757462">
      <w:bodyDiv w:val="1"/>
      <w:marLeft w:val="0"/>
      <w:marRight w:val="0"/>
      <w:marTop w:val="0"/>
      <w:marBottom w:val="0"/>
      <w:divBdr>
        <w:top w:val="none" w:sz="0" w:space="0" w:color="auto"/>
        <w:left w:val="none" w:sz="0" w:space="0" w:color="auto"/>
        <w:bottom w:val="none" w:sz="0" w:space="0" w:color="auto"/>
        <w:right w:val="none" w:sz="0" w:space="0" w:color="auto"/>
      </w:divBdr>
    </w:div>
    <w:div w:id="275529798">
      <w:bodyDiv w:val="1"/>
      <w:marLeft w:val="0"/>
      <w:marRight w:val="0"/>
      <w:marTop w:val="0"/>
      <w:marBottom w:val="0"/>
      <w:divBdr>
        <w:top w:val="none" w:sz="0" w:space="0" w:color="auto"/>
        <w:left w:val="none" w:sz="0" w:space="0" w:color="auto"/>
        <w:bottom w:val="none" w:sz="0" w:space="0" w:color="auto"/>
        <w:right w:val="none" w:sz="0" w:space="0" w:color="auto"/>
      </w:divBdr>
    </w:div>
    <w:div w:id="613556851">
      <w:bodyDiv w:val="1"/>
      <w:marLeft w:val="0"/>
      <w:marRight w:val="0"/>
      <w:marTop w:val="0"/>
      <w:marBottom w:val="0"/>
      <w:divBdr>
        <w:top w:val="none" w:sz="0" w:space="0" w:color="auto"/>
        <w:left w:val="none" w:sz="0" w:space="0" w:color="auto"/>
        <w:bottom w:val="none" w:sz="0" w:space="0" w:color="auto"/>
        <w:right w:val="none" w:sz="0" w:space="0" w:color="auto"/>
      </w:divBdr>
    </w:div>
    <w:div w:id="66219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ormattiva.it/uri-res/N2Ls?urn:nir:stato:decreto.legislativo:2024-12-13;192!vi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rmattiva.it/uri-res/N2Ls?urn:nir:stato:legge:2024;207"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939</Words>
  <Characters>5353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 Professional Sp2b Italiano</dc:creator>
  <cp:lastModifiedBy>Chieffa Maria</cp:lastModifiedBy>
  <cp:revision>7</cp:revision>
  <cp:lastPrinted>2024-11-07T07:43:00Z</cp:lastPrinted>
  <dcterms:created xsi:type="dcterms:W3CDTF">2025-01-22T12:00:00Z</dcterms:created>
  <dcterms:modified xsi:type="dcterms:W3CDTF">2025-01-31T09:30:00Z</dcterms:modified>
</cp:coreProperties>
</file>